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Title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pacing w:val="-10"/>
          <w:sz w:val="44"/>
          <w:szCs w:val="44"/>
          <w:lang w:val="en-GB" w:eastAsia="en-GB" w:bidi="en-GB"/>
        </w:rPr>
      </w:pPr>
    </w:p>
    <w:p>
      <w:pPr>
        <w:pStyle w:val="Title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pacing w:val="-10"/>
          <w:lang w:val="en-GB" w:eastAsia="en-GB" w:bidi="en-GB"/>
        </w:rPr>
      </w:pPr>
      <w:r>
        <w:rPr>
          <w:spacing w:val="-10"/>
          <w:lang w:val="en-GB" w:eastAsia="en-GB" w:bidi="en-GB"/>
        </w:rPr>
        <w:t xml:space="preserve">Job description</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Technical Officer</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Grade:		Grade SO1</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Reports to:	Assistant Director of capital Works</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Direct reports:	None</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Your team:	Property Services</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Service area:	Capital Delivery Team</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567" w:hanging="283"/>
        <w:rPr>
          <w:lang w:val="en-GB" w:eastAsia="en-GB" w:bidi="en-GB"/>
        </w:rPr>
      </w:pPr>
      <w:r>
        <w:rPr>
          <w:lang w:val="en-GB" w:eastAsia="en-GB" w:bidi="en-GB"/>
        </w:rPr>
        <w:t xml:space="preserve">Directorate: 	Homes and Neighbourhoods/Resources</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sz w:val="2"/>
          <w:szCs w:val="2"/>
          <w:lang w:val="en-GB" w:eastAsia="en-GB" w:bidi="en-GB"/>
        </w:rPr>
      </w:pPr>
    </w:p>
    <w:tbl>
      <w:tblPr>
        <w:tblW w:w="0" w:type="auto"/>
        <w:jc w:val="left"/>
        <w:tblInd w:w="0" w:type="dxa"/>
        <w:tblBorders>
          <w:top w:val="single" w:sz="4" w:space="0" w:color="000000"/>
          <w:left w:val="none"/>
          <w:bottom w:val="single" w:sz="4" w:space="0" w:color="000000"/>
          <w:right w:val="none"/>
          <w:insideH w:val="single" w:sz="4" w:space="0" w:color="000000"/>
          <w:insideV w:val="none"/>
        </w:tblBorders>
        <w:tblLayout w:type="fixed"/>
        <w:tblCellMar>
          <w:top w:w="0" w:type="dxa"/>
          <w:left w:w="108" w:type="dxa"/>
          <w:bottom w:w="0" w:type="dxa"/>
          <w:right w:w="108" w:type="dxa"/>
        </w:tblCellMar>
      </w:tblPr>
      <w:tblGrid>
        <w:gridCol w:w="10188"/>
      </w:tblGrid>
      <w:tr>
        <w:trPr>
          <w:cantSplit/>
          <w:tblHeader/>
          <w:trHeight w:val="313" w:hRule="atLeast"/>
        </w:trPr>
        <w:tc>
          <w:tcPr>
            <w:tcW w:w="10188"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b/>
                <w:bCs/>
                <w:color w:val="FFFFFF"/>
                <w:lang w:val="en-GB" w:eastAsia="en-GB" w:bidi="en-GB"/>
              </w:rPr>
              <w:t xml:space="preserve">Special requirements of the post</w:t>
            </w:r>
          </w:p>
        </w:tc>
      </w:tr>
      <w:tr>
        <w:trPr>
          <w:trHeight w:val="300" w:hRule="atLeast"/>
        </w:trPr>
        <w:tc>
          <w:tcPr>
            <w:tcW w:w="1018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Workstyle: Desk-based worker (Lower presence, one day a week minimum)</w:t>
            </w:r>
          </w:p>
          <w:p>
            <w:pPr>
              <w:pStyle w:val="Body text (Islington)"/>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Colleagues who are not usually client or customer-facing and can mostly work anywhere with the right technology. Regular on-site activities are required such as team events and collaboration that are more productive face to face</w:t>
            </w:r>
          </w:p>
        </w:tc>
      </w:tr>
    </w:tbl>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Our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Pr>
          <w:b/>
          <w:bCs/>
          <w:lang w:val="en-GB" w:eastAsia="en-GB" w:bidi="en-GB"/>
        </w:rPr>
        <w:t xml:space="preserve">Together we can change the future</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To do this, everyone who works at Islington Council lives by a set of values which guide us in everything that we do: collaborative, ambitious, resourceful, and empowering. They spell out ‘CARE’, which is what we think public service is all about.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Overview of the role</w:t>
      </w:r>
    </w:p>
    <w:p>
      <w:pPr>
        <w:pStyle w:val="Normal"/>
        <w:tabs>
          <w:tab w:val="left" w:pos="258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05" w:after="105" w:line="300" w:lineRule="atLeast"/>
        <w:ind w:left="2582" w:right="2582"/>
        <w:rPr>
          <w:color w:val="2424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75" w:after="75" w:line="300" w:lineRule="atLeast"/>
        <w:ind w:right="75"/>
        <w:rPr>
          <w:color w:val="242424"/>
          <w:lang w:val="en-GB" w:eastAsia="en-GB" w:bidi="en-GB"/>
        </w:rPr>
      </w:pPr>
      <w:r>
        <w:rPr>
          <w:color w:val="242424"/>
          <w:lang w:val="en-GB" w:eastAsia="en-GB" w:bidi="en-GB"/>
        </w:rPr>
        <w:t xml:space="preserve">The Technical Officer will provide essential support for the daily operations of Capital team under the guidance of the Head of Capital Works and under the direction of the Assistant Director. Additionally, the Technical Officer will assist the Assistant Director in managing the collection, analysis, and dissemination of performance data derived from the framework arrangements for construction services of the capital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75" w:after="75" w:line="300" w:lineRule="atLeast"/>
        <w:ind w:right="75"/>
        <w:rPr>
          <w:color w:val="242424"/>
          <w:lang w:val="en-GB" w:eastAsia="en-GB" w:bidi="en-GB"/>
        </w:rPr>
      </w:pPr>
      <w:r>
        <w:rPr>
          <w:color w:val="242424"/>
          <w:lang w:val="en-GB" w:eastAsia="en-GB" w:bidi="en-GB"/>
        </w:rPr>
        <w:t xml:space="preserve">The role requires a steadfast commitment to the core principles and key objectives of the London Borough of Islington (LBI), which must be demonstrated in the execution of responsibilities. Furthermore, the Technical Officer will aid the Assistant Director in delivering regular performance and expenditure reports and forecasts related to the capital programme undertaken by Property Services to Client Officers and the Capital Programme Delivery team.</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Key responsibilities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Contribute to the preparation, monitoring, and reporting of budgets for Property Services projects.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Become superuser in NEC Planned and Asset Module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Able to create and manage Power BI dashboards for performance monitoring.</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Collect, analyse, and maintain performance and expenditure data across all programmes in relation to accurate Time master officer input. Monitor and report on timesheet input performance across the service.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Assist in the preparation of monthly and annual financial reports for management review.</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Develop and maintain resource profiling alongside cost centre reporting systems.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Provide accurate financial and performance updates to client officers and management teams.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Support benchmarking and Key Performance Indicator (KPI) reporting in relation to capital projects.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Monitor the completion of project final accounts and report budgetary implications accordingly.</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Maintain comprehensive financial records, including those pertaining to salary recharges, agency staff costs, and outsourced fees.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Liaise with internal and external partners to ensure the effective delivery of services.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Recommend and implement improvements to service procedures and record-keeping processes.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Ensure strict compliance with council policies, financial regulations, and relevant legislation, including Health and Safety requirements.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Provide training in information technology to staff and promote the efficient use of technological systems.</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Additional duties:</w:t>
      </w:r>
      <w:r>
        <w:rPr>
          <w:lang w:val="en-GB" w:eastAsia="en-GB" w:bidi="en-GB"/>
        </w:rPr>
        <w:t xml:space="preserve">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720" w:hanging="360"/>
        <w:rPr>
          <w:lang w:val="en-GB" w:eastAsia="en-GB" w:bidi="en-GB"/>
        </w:rPr>
      </w:pPr>
      <w:r>
        <w:rPr>
          <w:lang w:val="en-GB" w:eastAsia="en-GB" w:bidi="en-GB"/>
        </w:rPr>
        <w:t xml:space="preserve">To ensure that duties are undertaken with due regard and compliance with the Data Protection Act and other legislation.</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720" w:hanging="360"/>
        <w:rPr>
          <w:lang w:val="en-GB" w:eastAsia="en-GB" w:bidi="en-GB"/>
        </w:rPr>
      </w:pPr>
      <w:r>
        <w:rPr>
          <w:lang w:val="en-GB" w:eastAsia="en-GB" w:bidi="en-GB"/>
        </w:rPr>
        <w:t xml:space="preserve">To carry out duties and responsibilities in accordance with the Council’s Health and Safety Policy and relevant Health and Safety legislation.</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both"/>
        <w:rPr>
          <w:lang w:val="en-GB" w:eastAsia="en-GB" w:bidi="en-GB"/>
        </w:rPr>
      </w:pPr>
      <w:r>
        <w:rPr>
          <w:lang w:val="en-GB" w:eastAsia="en-GB" w:bidi="en-GB"/>
        </w:rPr>
        <w:t xml:space="preserve">The ability to undertake the duties of the post with minimal supervision.</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both"/>
        <w:rPr>
          <w:lang w:val="en-GB" w:eastAsia="en-GB" w:bidi="en-GB"/>
        </w:rPr>
      </w:pPr>
      <w:r>
        <w:rPr>
          <w:lang w:val="en-GB" w:eastAsia="en-GB" w:bidi="en-GB"/>
        </w:rPr>
        <w:t xml:space="preserve">Effective team working, a customer focussed approach and flexible and innovative methods of working.</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both"/>
        <w:rPr>
          <w:lang w:val="en-GB" w:eastAsia="en-GB" w:bidi="en-GB"/>
        </w:rPr>
      </w:pPr>
      <w:r>
        <w:rPr>
          <w:lang w:val="en-GB" w:eastAsia="en-GB" w:bidi="en-GB"/>
        </w:rPr>
        <w:t xml:space="preserve">Punctuality and attendance to be demonstrated.</w:t>
      </w:r>
    </w:p>
    <w:p>
      <w:pPr>
        <w:pStyle w:val="Normal"/>
        <w:tabs>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27"/>
        <w:jc w:val="both"/>
        <w:rPr>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720" w:hanging="360"/>
        <w:rPr>
          <w:lang w:val="en-GB" w:eastAsia="en-GB" w:bidi="en-GB"/>
        </w:rPr>
      </w:pPr>
      <w:r>
        <w:rPr>
          <w:lang w:val="en-GB" w:eastAsia="en-GB" w:bidi="en-GB"/>
        </w:rPr>
        <w:t xml:space="preserve">At all times to carry out responsibilities/duties within the framework of the Council's Dignity for all Policy. (Equal Opportunities Policy).</w:t>
      </w: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Budget responsibilities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None</w:t>
      </w: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Compliance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Ensure adherence to legal, regulatory, and policy requirements under GDPR, Health and Safety, Employee Code of Conduct and in your area of expertise by identifying opportunities and risks, and escalating issues as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sz w:val="40"/>
          <w:szCs w:val="40"/>
          <w:lang w:val="en-GB" w:eastAsia="en-GB" w:bidi="en-GB"/>
        </w:rPr>
      </w:pPr>
      <w:r>
        <w:rPr>
          <w:lang w:val="en-GB" w:eastAsia="en-GB" w:bidi="en-GB"/>
        </w:rPr>
        <w:br w:type="page"/>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Person specification</w:t>
      </w:r>
    </w:p>
    <w:p>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000000"/>
          <w:left w:val="none"/>
          <w:bottom w:val="single" w:sz="4" w:space="0" w:color="000000"/>
          <w:right w:val="none"/>
          <w:insideH w:val="single" w:sz="4" w:space="0" w:color="000000"/>
          <w:insideV w:val="none"/>
        </w:tblBorders>
        <w:tblLayout w:type="fixed"/>
        <w:tblCellMar>
          <w:top w:w="0" w:type="dxa"/>
          <w:left w:w="108" w:type="dxa"/>
          <w:bottom w:w="0" w:type="dxa"/>
          <w:right w:w="108" w:type="dxa"/>
        </w:tblCellMar>
      </w:tblPr>
      <w:tblGrid>
        <w:gridCol w:w="846"/>
        <w:gridCol w:w="6667"/>
        <w:gridCol w:w="2693"/>
      </w:tblGrid>
      <w:tr>
        <w:trPr>
          <w:cantSplit/>
          <w:tblHeader/>
          <w:trHeight w:val="313" w:hRule="atLeast"/>
        </w:trPr>
        <w:tc>
          <w:tcPr>
            <w:tcW w:w="846"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lang w:val="en-GB" w:eastAsia="en-GB" w:bidi="en-GB"/>
              </w:rPr>
            </w:pPr>
            <w:r>
              <w:rPr>
                <w:b/>
                <w:bCs/>
                <w:color w:val="FFFFFF"/>
                <w:lang w:val="en-GB" w:eastAsia="en-GB" w:bidi="en-GB"/>
              </w:rPr>
              <w:t xml:space="preserve">Point</w:t>
            </w:r>
          </w:p>
        </w:tc>
        <w:tc>
          <w:tcPr>
            <w:tcW w:w="6667"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lang w:val="en-GB" w:eastAsia="en-GB" w:bidi="en-GB"/>
              </w:rPr>
            </w:pPr>
            <w:r>
              <w:rPr>
                <w:b/>
                <w:bCs/>
                <w:color w:val="FFFFFF"/>
                <w:lang w:val="en-GB" w:eastAsia="en-GB" w:bidi="en-GB"/>
              </w:rPr>
              <w:t xml:space="preserve">Criteria description</w:t>
            </w:r>
          </w:p>
        </w:tc>
        <w:tc>
          <w:tcPr>
            <w:tcW w:w="2693"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lang w:val="en-GB" w:eastAsia="en-GB" w:bidi="en-GB"/>
              </w:rPr>
            </w:pPr>
            <w:r>
              <w:rPr>
                <w:b/>
                <w:bCs/>
                <w:color w:val="FFFFFF"/>
                <w:lang w:val="en-GB" w:eastAsia="en-GB" w:bidi="en-GB"/>
              </w:rPr>
              <w:t xml:space="preserve">Essential/desirable</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hd w:val="clear" w:color="auto" w:fill="FFFFFF"/>
                <w:lang w:val="en-GB" w:eastAsia="en-GB" w:bidi="en-GB"/>
              </w:rPr>
            </w:pPr>
            <w:r>
              <w:rPr>
                <w:lang w:val="en-GB" w:eastAsia="en-GB" w:bidi="en-GB"/>
              </w:rPr>
              <w:t xml:space="preserve">Experience of work as an administrator in a technical (professional) environment with knowledge of recording and monitoring project performance and technical fee information.</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Essential/desirable</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2</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hd w:val="clear" w:color="auto" w:fill="FFFFFF"/>
                <w:lang w:val="en-GB" w:eastAsia="en-GB" w:bidi="en-GB"/>
              </w:rPr>
            </w:pPr>
            <w:r>
              <w:rPr>
                <w:lang w:val="en-GB" w:eastAsia="en-GB" w:bidi="en-GB"/>
              </w:rPr>
              <w:t xml:space="preserve">Knowledge of and ability to work within Local Government Regulations and applicable statutory frameworks and to apply appropriate business management skills necessary for the delivery of high quality services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3</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hd w:val="clear" w:color="auto" w:fill="FFFFFF"/>
                <w:lang w:val="en-GB" w:eastAsia="en-GB" w:bidi="en-GB"/>
              </w:rPr>
            </w:pPr>
            <w:r>
              <w:rPr>
                <w:color w:val="000000"/>
                <w:lang w:val="en-GB" w:eastAsia="en-GB" w:bidi="en-GB"/>
              </w:rPr>
              <w:t xml:space="preserve">Ability to communicate with and direct, both verbally and in writing, other members of staff within the office, other council departments, area offices, working parties, external clients and agencies, councillors and consultants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4</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hd w:val="clear" w:color="auto" w:fill="FFFFFF"/>
                <w:lang w:val="en-GB" w:eastAsia="en-GB" w:bidi="en-GB"/>
              </w:rPr>
            </w:pPr>
            <w:r>
              <w:rPr>
                <w:lang w:val="en-GB" w:eastAsia="en-GB" w:bidi="en-GB"/>
              </w:rPr>
              <w:t xml:space="preserve">Ability to operate access, develop and interrogate spreadsheet, database and word processing packages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5</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lang w:val="en-GB" w:eastAsia="en-GB" w:bidi="en-GB"/>
              </w:rPr>
              <w:t xml:space="preserve">Ability to assist with the provision of a detailed monitoring system for reporting project progress to client services.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6</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Ability to provide a customer focussed approach in support of service delivery and operational objectives of a technical department.</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7</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Ability to contribute to budget preparations, to monitor and control costs and to ensure that services are provided in a cost effective and competitive manner in accordance with business plans and within a best value framework.</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8</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Ability to plan and deliver projects to a programme within budgets and fees and to monitor and control costs at all stages.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9</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Ability to collect, collate and analyse performance information and KPI’s. Identify trends and support the implementation of resultant change.</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10</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Must be highly numerate, able to monitor a range of figures that are constantly moving and draw sound estimates and conclusions of outturns.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11</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Ability to adopt a flexible approach to team working, be self-motivated and to be able to demonstrate an ability to work on own initiative and meet performance targets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12</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lang w:val="en-GB" w:eastAsia="en-GB" w:bidi="en-GB"/>
              </w:rPr>
              <w:t xml:space="preserve">Able to maintain a data handling system for the recording of key performance data</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w:t>
            </w:r>
          </w:p>
        </w:tc>
      </w:tr>
    </w:tbl>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4"/>
          <w:szCs w:val="24"/>
          <w:lang w:val="en-GB" w:eastAsia="en-GB" w:bidi="en-GB"/>
        </w:rPr>
      </w:pPr>
      <w:r>
        <w:rPr>
          <w:b/>
          <w:bCs/>
          <w:sz w:val="24"/>
          <w:szCs w:val="24"/>
          <w:lang w:val="en-GB" w:eastAsia="en-GB" w:bidi="en-GB"/>
        </w:rPr>
        <w:t xml:space="preserve">Our accreditations</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drawing>
          <wp:inline distT="0" distB="0" distL="0" distR="0">
            <wp:extent cx="6478270" cy="936625"/>
            <wp:docPr id="2" name="Picture 2"/>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8"/>
                    <a:stretch>
                      <a:fillRect/>
                    </a:stretch>
                  </pic:blipFill>
                  <pic:spPr>
                    <a:xfrm>
                      <a:off x="0" y="0"/>
                      <a:ext cx="6478270" cy="936625"/>
                    </a:xfrm>
                    <a:prstGeom prst="rect">
                      <a:avLst/>
                    </a:prstGeom>
                  </pic:spPr>
                </pic:pic>
              </a:graphicData>
            </a:graphic>
          </wp:inline>
        </w:drawing>
      </w:r>
      <w:r>
        <w:rPr>
          <w:lang w:val="en-GB" w:eastAsia="en-GB" w:bidi="en-GB"/>
        </w:rPr>
        <w:t xml:space="preserve"> Our accreditations include Disability Confident Leader, The Mayor’s Good Work Standard, London Living Wage Employer, Stonewall Diversity Champion, and Employer with Heart. </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footerReference w:type="default" r:id="rId00009"/>
      <w:headerReference w:type="first" r:id="rId00010"/>
      <w:footerReference w:type="first" r:id="rId00011"/>
      <w:pgSz w:w="11900" w:h="16840"/>
      <w:pgMar w:top="709" w:right="851" w:bottom="851" w:left="851" w:header="709" w:footer="709"/>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ft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clear" w:pos="4513"/>
        <w:tab w:val="left" w:pos="6165"/>
        <w:tab w:val="left" w:pos="7716"/>
        <w:tab w:val="left" w:pos="8328"/>
        <w:tab w:val="left" w:pos="8640"/>
        <w:tab w:val="clear" w:pos="9026"/>
        <w:tab w:val="left" w:pos="9360"/>
        <w:tab w:val="left" w:pos="10080"/>
        <w:tab w:val="left" w:pos="10800"/>
        <w:tab w:val="left" w:pos="11520"/>
        <w:tab w:val="left" w:pos="12240"/>
        <w:tab w:val="left" w:pos="12960"/>
        <w:tab w:val="left" w:pos="13680"/>
        <w:tab w:val="left" w:pos="14400"/>
        <w:tab w:val="left" w:pos="15120"/>
        <w:tab w:val="left" w:pos="15840"/>
      </w:tabs>
      <w:rPr>
        <w:lang w:val="en-GB" w:eastAsia="en-GB" w:bidi="en-GB"/>
      </w:rPr>
    </w:pPr>
    <w:r>
      <w:drawing>
        <wp:anchor distT="0" distB="0" distL="114300" distR="114300" simplePos="0" relativeHeight="251659264" behindDoc="1" locked="0" layoutInCell="1" hidden="0" allowOverlap="1">
          <wp:simplePos x="0" y="0"/>
          <wp:positionH relativeFrom="page">
            <wp:posOffset>0</wp:posOffset>
          </wp:positionH>
          <wp:positionV relativeFrom="page">
            <wp:posOffset>3175</wp:posOffset>
          </wp:positionV>
          <wp:extent cx="7549515" cy="1031240"/>
          <wp:wrapNone/>
          <wp:docPr id="1" name="Picture 3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7">
                    <a:extLst>
                      <a:ext uri="{96DAC541-7B7A-43D3-8B79-37D633B846F1}">
                        <asvg:svgBlip xmlns:asvg="http://schemas.microsoft.com/office/drawing/2016/SVG/main" r:embed="rId00006"/>
                      </a:ext>
                    </a:extLst>
                  </a:blip>
                  <a:stretch>
                    <a:fillRect/>
                  </a:stretch>
                </pic:blipFill>
                <pic:spPr>
                  <a:xfrm>
                    <a:off x="0" y="0"/>
                    <a:ext cx="7549515" cy="1031240"/>
                  </a:xfrm>
                  <a:prstGeom prst="rect">
                    <a:avLst/>
                  </a:prstGeom>
                </pic:spPr>
              </pic:pic>
            </a:graphicData>
          </a:graphic>
        </wp:anchor>
      </w:drawing>
    </w:r>
    <w:r>
      <w:rPr>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567" w:hanging="283"/>
        <w:tabs>
          <w:tab w:val="num" w:pos="567"/>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decimal"/>
      <w:suff w:val="tab"/>
      <w:lvlText w:val="%1."/>
      <w:pPr>
        <w:ind w:left="720" w:hanging="360"/>
        <w:tabs>
          <w:tab w:val="num" w:pos="720"/>
        </w:tabs>
      </w:pPr>
      <w:rPr>
        <w:rFonts w:hint="default" w:ascii="Arial" w:hAnsi="Arial" w:eastAsia="Arial" w:cs="Aria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Pr>
      <w:sz w:val="20"/>
      <w:szCs w:val="20"/>
      <w:lang w:val="en-GB" w:eastAsia="en-GB" w:bidi="en-GB"/>
    </w:rPr>
  </w:style>
  <w:style w:type="paragraph" w:styleId="Normal">
    <w:name w:val="Normal"/>
    <w:next w:val="Normal"/>
    <w:qFormat/>
    <w:pPr>
      <w:widowControl w:val="on"/>
      <w:shd w:val="clear" w:color="auto" w:fill="auto"/>
      <w:spacing w:before="240" w:after="12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Title">
    <w:name w:val="Title"/>
    <w:basedOn w:val="Normal"/>
    <w:next w:val="Normal"/>
    <w:qFormat/>
    <w:pPr>
      <w:spacing w:before="0" w:after="0"/>
    </w:pPr>
    <w:rPr>
      <w:spacing w:val="-10"/>
      <w:sz w:val="56"/>
      <w:szCs w:val="56"/>
      <w:lang w:val="en-GB" w:eastAsia="en-GB" w:bidi="en-GB"/>
    </w:rPr>
  </w:style>
  <w:style w:type="paragraph" w:styleId="Title (Islington)" w:customStyle="1">
    <w:name w:val="Title (Islington)"/>
    <w:basedOn w:val="Title"/>
    <w:next w:val="Title (Islington)"/>
    <w:qFormat/>
    <w:pPr/>
    <w:rPr>
      <w:color w:val="288647"/>
      <w:spacing w:val="-10"/>
      <w:sz w:val="64"/>
      <w:szCs w:val="64"/>
      <w:lang w:val="en-GB" w:eastAsia="en-GB" w:bidi="en-GB"/>
    </w:rPr>
  </w:style>
  <w:style w:type="paragraph" w:styleId="Heading2">
    <w:name w:val="heading 2"/>
    <w:basedOn w:val="Normal"/>
    <w:next w:val="Normal"/>
    <w:qFormat/>
    <w:pPr>
      <w:outlineLvl w:val="1"/>
    </w:pPr>
    <w:rPr>
      <w:sz w:val="40"/>
      <w:szCs w:val="40"/>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Bullets (Islington)" w:customStyle="1">
    <w:name w:val="Bullets (Islington)"/>
    <w:basedOn w:val="ListParagraph"/>
    <w:next w:val="Bullets (Islington)"/>
    <w:qFormat/>
    <w:pPr>
      <w:tabs>
        <w:tab w:val="left" w:pos="284"/>
      </w:tabs>
      <w:ind w:left="0"/>
    </w:pPr>
    <w:rPr>
      <w:lang w:val="en-GB" w:eastAsia="en-GB" w:bidi="en-GB"/>
    </w:rPr>
  </w:style>
  <w:style w:type="paragraph" w:styleId="Heading3">
    <w:name w:val="heading 3"/>
    <w:basedOn w:val="Normal"/>
    <w:next w:val="Normal"/>
    <w:qFormat/>
    <w:pPr>
      <w:keepNext/>
      <w:keepLines/>
      <w:outlineLvl w:val="2"/>
    </w:pPr>
    <w:rPr>
      <w:sz w:val="32"/>
      <w:szCs w:val="32"/>
      <w:lang w:val="en-GB" w:eastAsia="en-GB" w:bidi="en-GB"/>
    </w:rPr>
  </w:style>
  <w:style w:type="paragraph" w:styleId="Heading4">
    <w:name w:val="heading 4"/>
    <w:basedOn w:val="Normal"/>
    <w:next w:val="Normal"/>
    <w:qFormat/>
    <w:pPr>
      <w:keepNext/>
      <w:keepLines/>
      <w:outlineLvl w:val="3"/>
    </w:pPr>
    <w:rPr>
      <w:b/>
      <w:bCs/>
      <w:lang w:val="en-GB" w:eastAsia="en-GB" w:bidi="en-GB"/>
    </w:rPr>
  </w:style>
  <w:style w:type="paragraph" w:styleId="Heading1">
    <w:name w:val="heading 1"/>
    <w:basedOn w:val="Normal"/>
    <w:next w:val="Normal"/>
    <w:qFormat/>
    <w:pPr>
      <w:outlineLvl w:val="0"/>
    </w:pPr>
    <w:rPr>
      <w:color w:val="288647"/>
      <w:sz w:val="48"/>
      <w:szCs w:val="48"/>
      <w:lang w:val="en-GB" w:eastAsia="en-GB" w:bidi="en-GB"/>
    </w:rPr>
  </w:style>
  <w:style w:type="paragraph" w:styleId="Heading5">
    <w:name w:val="heading 5"/>
    <w:basedOn w:val="Normal"/>
    <w:next w:val="Normal"/>
    <w:qFormat/>
    <w:pPr>
      <w:keepNext/>
      <w:keepLines/>
      <w:outlineLvl w:val="4"/>
    </w:pPr>
    <w:rPr>
      <w:color w:val="288647"/>
      <w:lang w:val="en-GB" w:eastAsia="en-GB" w:bidi="en-GB"/>
    </w:rPr>
  </w:style>
  <w:style w:type="paragraph" w:styleId="Heading6">
    <w:name w:val="heading 6"/>
    <w:basedOn w:val="Normal"/>
    <w:next w:val="Normal"/>
    <w:qFormat/>
    <w:pPr>
      <w:keepNext/>
      <w:keepLines/>
      <w:outlineLvl w:val="5"/>
    </w:pPr>
    <w:rPr>
      <w:color w:val="767676"/>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Heading 1 Char" w:customStyle="1">
    <w:name w:val="Heading 1 Char"/>
    <w:qFormat/>
    <w:rPr>
      <w:color w:val="288647"/>
      <w:sz w:val="48"/>
      <w:szCs w:val="48"/>
      <w:rtl w:val="off"/>
      <w:lang w:val="en-GB" w:eastAsia="en-GB" w:bidi="en-GB"/>
    </w:rPr>
  </w:style>
  <w:style w:type="character" w:styleId="Heading 2 Char" w:customStyle="1">
    <w:name w:val="Heading 2 Char"/>
    <w:qFormat/>
    <w:rPr>
      <w:sz w:val="40"/>
      <w:szCs w:val="40"/>
      <w:rtl w:val="off"/>
      <w:lang w:val="en-GB" w:eastAsia="en-GB" w:bidi="en-GB"/>
    </w:rPr>
  </w:style>
  <w:style w:type="character" w:styleId="Strong">
    <w:name w:val="Strong"/>
    <w:qFormat/>
    <w:rPr>
      <w:b/>
      <w:bCs/>
      <w:rtl w:val="off"/>
    </w:rPr>
  </w:style>
  <w:style w:type="character" w:styleId="Hyperlink">
    <w:name w:val="Hyperlink"/>
    <w:qFormat/>
    <w:rPr>
      <w:color w:val="0070C0"/>
      <w:u w:val="single"/>
      <w:rtl w:val="off"/>
    </w:rPr>
  </w:style>
  <w:style w:type="character" w:styleId="Unresolved Mention1" w:customStyle="1">
    <w:name w:val="Unresolved Mention1"/>
    <w:qFormat/>
    <w:rPr>
      <w:color w:val="605E5C"/>
      <w:shd w:val="clear" w:color="auto" w:fill="E1DFDD"/>
      <w:rtl w:val="off"/>
    </w:rPr>
  </w:style>
  <w:style w:type="character" w:styleId="FollowedHyperlink">
    <w:name w:val="FollowedHyperlink"/>
    <w:qFormat/>
    <w:rPr>
      <w:color w:val="59348B"/>
      <w:u w:val="single"/>
      <w:rtl w:val="off"/>
    </w:rPr>
  </w:style>
  <w:style w:type="character" w:styleId="HTMLAcronym">
    <w:name w:val="HTML Acronym"/>
    <w:qFormat/>
    <w:rPr>
      <w:rtl w:val="off"/>
    </w:rPr>
  </w:style>
  <w:style w:type="character" w:styleId="Heading 3 Char" w:customStyle="1">
    <w:name w:val="Heading 3 Char"/>
    <w:qFormat/>
    <w:rPr>
      <w:rFonts w:ascii="Arial" w:hAnsi="Arial" w:eastAsia="Arial" w:cs="Arial"/>
      <w:sz w:val="32"/>
      <w:szCs w:val="32"/>
      <w:rtl w:val="off"/>
      <w:lang w:val="en-GB" w:eastAsia="en-GB" w:bidi="en-GB"/>
    </w:rPr>
  </w:style>
  <w:style w:type="character" w:styleId="Heading 4 Char" w:customStyle="1">
    <w:name w:val="Heading 4 Char"/>
    <w:qFormat/>
    <w:rPr>
      <w:rFonts w:ascii="Arial" w:hAnsi="Arial" w:eastAsia="Arial" w:cs="Arial"/>
      <w:b/>
      <w:bCs/>
      <w:i w:val="off"/>
      <w:iCs w:val="off"/>
      <w:rtl w:val="off"/>
      <w:lang w:val="en-GB" w:eastAsia="en-GB" w:bidi="en-GB"/>
    </w:rPr>
  </w:style>
  <w:style w:type="character" w:styleId="Heading 6 Char" w:customStyle="1">
    <w:name w:val="Heading 6 Char"/>
    <w:qFormat/>
    <w:rPr>
      <w:rFonts w:ascii="Arial" w:hAnsi="Arial" w:eastAsia="Arial" w:cs="Arial"/>
      <w:color w:val="767676"/>
      <w:rtl w:val="off"/>
      <w:lang w:val="en-GB" w:eastAsia="en-GB" w:bidi="en-GB"/>
    </w:rPr>
  </w:style>
  <w:style w:type="character" w:styleId="Heading 5 Char" w:customStyle="1">
    <w:name w:val="Heading 5 Char"/>
    <w:qFormat/>
    <w:rPr>
      <w:rFonts w:ascii="Arial" w:hAnsi="Arial" w:eastAsia="Arial" w:cs="Arial"/>
      <w:color w:val="288647"/>
      <w:rtl w:val="off"/>
      <w:lang w:val="en-GB" w:eastAsia="en-GB" w:bidi="en-GB"/>
    </w:rPr>
  </w:style>
  <w:style w:type="character" w:styleId="Title Char" w:customStyle="1">
    <w:name w:val="Title Char"/>
    <w:qFormat/>
    <w:rPr>
      <w:rFonts w:ascii="Arial" w:hAnsi="Arial" w:eastAsia="Arial" w:cs="Arial"/>
      <w:spacing w:val="-10"/>
      <w:sz w:val="56"/>
      <w:szCs w:val="56"/>
      <w:rtl w:val="off"/>
      <w:lang w:val="en-GB" w:eastAsia="en-GB" w:bidi="en-GB"/>
    </w:rPr>
  </w:style>
  <w:style w:type="character" w:styleId="Title (Islington) Char" w:customStyle="1">
    <w:name w:val="Title (Islington) Char"/>
    <w:basedOn w:val="Title Char"/>
    <w:qFormat/>
    <w:rPr>
      <w:rFonts w:ascii="Arial" w:hAnsi="Arial" w:eastAsia="Arial" w:cs="Arial"/>
      <w:color w:val="288647"/>
      <w:spacing w:val="-10"/>
      <w:sz w:val="64"/>
      <w:szCs w:val="64"/>
      <w:lang w:val="en-GB" w:eastAsia="en-GB" w:bidi="en-GB"/>
    </w:rPr>
  </w:style>
  <w:style w:type="character" w:styleId="UnresolvedMention">
    <w:name w:val="Unresolved Mention"/>
    <w:qFormat/>
    <w:rPr>
      <w:color w:val="605E5C"/>
      <w:shd w:val="clear" w:color="auto" w:fill="E1DFDD"/>
      <w:rtl w:val="off"/>
    </w:rPr>
  </w:style>
  <w:style w:type="character" w:styleId="eop" w:customStyle="1">
    <w:name w:val="eop"/>
    <w:qFormat/>
    <w:rPr>
      <w:rtl w:val="off"/>
    </w:rPr>
  </w:style>
  <w:style w:type="character" w:styleId="normaltextrun" w:customStyle="1">
    <w:name w:val="normaltextrun"/>
    <w:qFormat/>
    <w:rPr>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sz w:val="20"/>
      <w:szCs w:val="20"/>
      <w:rtl w:val="off"/>
      <w:lang w:val="en-GB" w:eastAsia="en-GB" w:bidi="en-GB"/>
    </w:rPr>
  </w:style>
  <w:style w:type="character" w:styleId="Comment Subject Char" w:customStyle="1">
    <w:name w:val="Comment Subject Char"/>
    <w:basedOn w:val="Comment Text Char"/>
    <w:qFormat/>
    <w:rPr>
      <w:b/>
      <w:bCs/>
      <w:sz w:val="20"/>
      <w:szCs w:val="20"/>
      <w:lang w:val="en-GB" w:eastAsia="en-GB" w:bidi="en-GB"/>
    </w:rPr>
  </w:style>
  <w:style w:type="character" w:styleId="CommentReference">
    <w:name w:val="annotation reference"/>
    <w:qFormat/>
    <w:rPr>
      <w:sz w:val="16"/>
      <w:szCs w:val="16"/>
      <w:rtl w:val="off"/>
    </w:rPr>
  </w:style>
  <w:style w:type="paragraph" w:styleId="Body text (Islington)" w:customStyle="1">
    <w:name w:val="Body text (Islington)"/>
    <w:basedOn w:val="[Normal]"/>
    <w:next w:val="Body text (Islingt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240"/>
    </w:pPr>
    <w:rPr>
      <w:sz w:val="24"/>
      <w:szCs w:val="24"/>
      <w:lang w:val="en-GB" w:eastAsia="en-GB" w:bidi="en-GB"/>
    </w:rPr>
  </w:style>
  <w:style w:type="paragraph" w:styleId="Quote (Islington)" w:customStyle="1">
    <w:name w:val="Quote (Islington)"/>
    <w:basedOn w:val="Body text (Islington)"/>
    <w:next w:val="Quote (Islington)"/>
    <w:qFormat/>
    <w:pPr>
      <w:ind w:left="567" w:right="567"/>
    </w:pPr>
    <w:rPr>
      <w:color w:val="767676"/>
      <w:sz w:val="28"/>
      <w:szCs w:val="28"/>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footer" Target="footer0001.xml"/>
	<Relationship Id="rId00010" Type="http://schemas.openxmlformats.org/officeDocument/2006/relationships/header" Target="header0001_first.xml"/>
	<Relationship Id="rId00011" Type="http://schemas.openxmlformats.org/officeDocument/2006/relationships/footer" Target="footer0001_first.xml"/>
	<Relationship Id="rId00008" Type="http://schemas.openxmlformats.org/officeDocument/2006/relationships/image" Target="media/image0003.png"/>
	<Relationship Id="rId00012" Type="http://schemas.openxmlformats.org/officeDocument/2006/relationships/numbering" Target="numbering.xml"/>
	<Relationship Id="rId00013" Type="http://schemas.openxmlformats.org/officeDocument/2006/relationships/fontTable" Target="fontTable.xml"/>
	<Relationship Id="rId00014"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sv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creator>Stoner, Robert</dc:creator>
  <dcterms:created xsi:type="dcterms:W3CDTF">2025-08-18T08:36:00Z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s Type">
    <vt:lpwstr>291;#Branding|472c01dc-d871-4c5d-b949-258f5d56872a</vt:lpwstr>
  </property>
  <property fmtid="{D5CDD505-2E9C-101B-9397-08002B2CF9AE}" pid="3" name="Owning TeamTaxHTField0">
    <vt:lpwstr>izzi Content Publishers|edb05a51-1f87-43d9-955d-575cf5c727e8</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Records TypeTaxHTField0">
    <vt:lpwstr>Branding|472c01dc-d871-4c5d-b949-258f5d56872a</vt:lpwstr>
  </property>
  <property fmtid="{D5CDD505-2E9C-101B-9397-08002B2CF9AE}" pid="7" name="FunctionalArea">
    <vt:lpwstr>5;#Communications|39e3c23f-dc56-4aba-86a2-372111e6b9b8</vt:lpwstr>
  </property>
  <property fmtid="{D5CDD505-2E9C-101B-9397-08002B2CF9AE}" pid="8" name="ProtectiveZone">
    <vt:lpwstr>Protected</vt:lpwstr>
  </property>
  <property fmtid="{D5CDD505-2E9C-101B-9397-08002B2CF9AE}" pid="9" name="ContentTypeId">
    <vt:lpwstr>0x010100CD165B9E46142848A777D236ED0C4B90</vt:lpwstr>
  </property>
  <property fmtid="{D5CDD505-2E9C-101B-9397-08002B2CF9AE}" pid="10" name="OriginalFilename">
    <vt:lpwstr>General document.dotx</vt:lpwstr>
  </property>
  <property fmtid="{D5CDD505-2E9C-101B-9397-08002B2CF9AE}" pid="11" name="Owning Team">
    <vt:lpwstr>60;#izzi Content Publishers|edb05a51-1f87-43d9-955d-575cf5c727e8</vt:lpwstr>
  </property>
  <property fmtid="{D5CDD505-2E9C-101B-9397-08002B2CF9AE}" pid="12" name="TaxCatchAll">
    <vt:lpwstr>60;#izzi Content Publishers|edb05a51-1f87-43d9-955d-575cf5c727e8;#5;#Communications|39e3c23f-dc56-4aba-86a2-372111e6b9b8;#291;#Branding|472c01dc-d871-4c5d-b949-258f5d56872a</vt:lpwstr>
  </property>
  <property fmtid="{D5CDD505-2E9C-101B-9397-08002B2CF9AE}" pid="13" name="c96fb2fb72de4de78ba8fe87aa837b5e">
    <vt:lpwstr>Communications|39e3c23f-dc56-4aba-86a2-372111e6b9b8</vt:lpwstr>
  </property>
</Properties>
</file>