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2FD9956E" w:rsidR="00ED5A19" w:rsidRPr="00607BD0" w:rsidRDefault="00607BD0" w:rsidP="00ED5A19">
      <w:pPr>
        <w:pStyle w:val="Heading2"/>
        <w:rPr>
          <w:bCs w:val="0"/>
          <w:sz w:val="28"/>
          <w:szCs w:val="28"/>
        </w:rPr>
      </w:pPr>
      <w:r w:rsidRPr="00607BD0">
        <w:rPr>
          <w:bCs w:val="0"/>
          <w:sz w:val="36"/>
          <w:szCs w:val="36"/>
        </w:rPr>
        <w:t xml:space="preserve">Senior Social Worker </w:t>
      </w:r>
      <w:r w:rsidRPr="00607BD0">
        <w:rPr>
          <w:bCs w:val="0"/>
          <w:sz w:val="28"/>
          <w:szCs w:val="28"/>
        </w:rPr>
        <w:t>(Approved Mental Health Professional/Emergency Duty Team)</w:t>
      </w:r>
    </w:p>
    <w:p w14:paraId="4829845F" w14:textId="523C852F" w:rsidR="009C17D5" w:rsidRPr="00E52824" w:rsidRDefault="009C17D5" w:rsidP="00E52824">
      <w:pPr>
        <w:pStyle w:val="BulletsIslington"/>
        <w:numPr>
          <w:ilvl w:val="0"/>
          <w:numId w:val="19"/>
        </w:numPr>
      </w:pPr>
      <w:r>
        <w:t>Grade:</w:t>
      </w:r>
      <w:r>
        <w:tab/>
      </w:r>
      <w:r>
        <w:tab/>
      </w:r>
      <w:r w:rsidR="002F2E74">
        <w:t>P</w:t>
      </w:r>
      <w:r w:rsidR="00607BD0">
        <w:t>O</w:t>
      </w:r>
      <w:r w:rsidR="002F2E74">
        <w:t>4</w:t>
      </w:r>
    </w:p>
    <w:p w14:paraId="7BC7F9B7" w14:textId="71F888EF" w:rsidR="009C17D5" w:rsidRPr="00E52824" w:rsidRDefault="009C17D5" w:rsidP="00E52824">
      <w:pPr>
        <w:pStyle w:val="BulletsIslington"/>
        <w:numPr>
          <w:ilvl w:val="0"/>
          <w:numId w:val="19"/>
        </w:numPr>
      </w:pPr>
      <w:r w:rsidRPr="00E52824">
        <w:t>Reports to:</w:t>
      </w:r>
      <w:r w:rsidR="00F73847" w:rsidRPr="00E52824">
        <w:tab/>
      </w:r>
      <w:r w:rsidR="002F2E74">
        <w:t>Team Manager</w:t>
      </w:r>
      <w:r w:rsidR="002F2E74">
        <w:tab/>
      </w:r>
    </w:p>
    <w:p w14:paraId="41C3CD14" w14:textId="1E5AD5DF" w:rsidR="009C17D5" w:rsidRPr="00E52824" w:rsidRDefault="009C17D5" w:rsidP="00E52824">
      <w:pPr>
        <w:pStyle w:val="BulletsIslington"/>
        <w:numPr>
          <w:ilvl w:val="0"/>
          <w:numId w:val="19"/>
        </w:numPr>
      </w:pPr>
      <w:r w:rsidRPr="00E52824">
        <w:t>Direct reports:</w:t>
      </w:r>
      <w:r w:rsidR="00F73847" w:rsidRPr="00E52824">
        <w:tab/>
        <w:t>None</w:t>
      </w:r>
    </w:p>
    <w:p w14:paraId="0F9F4BD0" w14:textId="3CCB6101" w:rsidR="009C17D5" w:rsidRPr="00E52824" w:rsidRDefault="009C17D5" w:rsidP="00E52824">
      <w:pPr>
        <w:pStyle w:val="BulletsIslington"/>
        <w:numPr>
          <w:ilvl w:val="0"/>
          <w:numId w:val="19"/>
        </w:numPr>
      </w:pPr>
      <w:r w:rsidRPr="00E52824">
        <w:t>Your team:</w:t>
      </w:r>
      <w:r w:rsidR="00F73847" w:rsidRPr="00E52824">
        <w:tab/>
      </w:r>
      <w:r w:rsidR="002F2E74">
        <w:t xml:space="preserve">Emergency Duty Team </w:t>
      </w:r>
    </w:p>
    <w:p w14:paraId="6D2C3257" w14:textId="5DB1B450" w:rsidR="009C17D5" w:rsidRPr="00E52824" w:rsidRDefault="009C17D5" w:rsidP="00E52824">
      <w:pPr>
        <w:pStyle w:val="BulletsIslington"/>
        <w:numPr>
          <w:ilvl w:val="0"/>
          <w:numId w:val="19"/>
        </w:numPr>
      </w:pPr>
      <w:r w:rsidRPr="00E52824">
        <w:t>Service area:</w:t>
      </w:r>
      <w:r w:rsidR="00F73847" w:rsidRPr="00E52824">
        <w:tab/>
      </w:r>
      <w:r w:rsidR="002F2E74">
        <w:t xml:space="preserve">Safeguarding and Family Support </w:t>
      </w:r>
    </w:p>
    <w:p w14:paraId="35C48F27" w14:textId="77777777" w:rsidR="002F2E74" w:rsidRPr="002F2E74" w:rsidRDefault="002F2E74" w:rsidP="002F2E74">
      <w:pPr>
        <w:pStyle w:val="BulletsIslington"/>
        <w:numPr>
          <w:ilvl w:val="0"/>
          <w:numId w:val="19"/>
        </w:numPr>
        <w:spacing w:before="0" w:after="0"/>
        <w:rPr>
          <w:sz w:val="2"/>
          <w:szCs w:val="2"/>
        </w:rPr>
      </w:pPr>
    </w:p>
    <w:p w14:paraId="639F9A7A" w14:textId="055F5821" w:rsidR="002F2E74" w:rsidRPr="002F2E74" w:rsidRDefault="009C17D5" w:rsidP="002F2E74">
      <w:pPr>
        <w:pStyle w:val="BulletsIslington"/>
        <w:numPr>
          <w:ilvl w:val="0"/>
          <w:numId w:val="19"/>
        </w:numPr>
        <w:spacing w:before="0" w:after="0"/>
        <w:rPr>
          <w:sz w:val="2"/>
          <w:szCs w:val="2"/>
        </w:rPr>
      </w:pPr>
      <w:r>
        <w:t xml:space="preserve">Directorate: </w:t>
      </w:r>
      <w:r>
        <w:tab/>
      </w:r>
      <w:r w:rsidR="002F2E74">
        <w:t xml:space="preserve">People  </w:t>
      </w:r>
    </w:p>
    <w:p w14:paraId="27412B66" w14:textId="77777777" w:rsidR="002F2E74" w:rsidRDefault="002F2E74" w:rsidP="002F2E74">
      <w:pPr>
        <w:pStyle w:val="BulletsIslington"/>
        <w:spacing w:before="0" w:after="0"/>
      </w:pPr>
    </w:p>
    <w:p w14:paraId="214CAEAE" w14:textId="77777777" w:rsidR="002F2E74" w:rsidRDefault="002F2E74" w:rsidP="002F2E74">
      <w:pPr>
        <w:pStyle w:val="BulletsIslington"/>
        <w:spacing w:before="0" w:after="0"/>
      </w:pPr>
    </w:p>
    <w:p w14:paraId="525383AC" w14:textId="77777777" w:rsidR="002F2E74" w:rsidRPr="002F2E74" w:rsidRDefault="002F2E74" w:rsidP="002F2E74">
      <w:pPr>
        <w:pStyle w:val="BulletsIslington"/>
        <w:spacing w:before="0" w:after="0"/>
        <w:rPr>
          <w:sz w:val="2"/>
          <w:szCs w:val="2"/>
        </w:rPr>
      </w:pPr>
    </w:p>
    <w:p w14:paraId="280F6F05" w14:textId="77777777" w:rsidR="002F2E74" w:rsidRPr="002F2E74" w:rsidRDefault="002F2E74" w:rsidP="002F2E74">
      <w:pPr>
        <w:pStyle w:val="BulletsIslington"/>
        <w:spacing w:before="0" w:after="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530987FF"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2DDB773" w14:textId="62F06C7B" w:rsidR="009711FF" w:rsidRDefault="00E573D2" w:rsidP="1639A78D">
            <w:pPr>
              <w:pStyle w:val="BodytextIslington"/>
            </w:pPr>
            <w:r>
              <w:t xml:space="preserve">Workstyle: </w:t>
            </w:r>
            <w:r w:rsidR="00843870">
              <w:t>Roaming</w:t>
            </w:r>
            <w:r w:rsidR="009711FF">
              <w:t xml:space="preserve"> (Medium presence, two days a week)</w:t>
            </w:r>
          </w:p>
          <w:p w14:paraId="43EB6B05" w14:textId="087A4636" w:rsidR="00E573D2" w:rsidRDefault="009711FF" w:rsidP="002B73EC">
            <w:pPr>
              <w:pStyle w:val="BodytextIslington"/>
              <w:numPr>
                <w:ilvl w:val="0"/>
                <w:numId w:val="5"/>
              </w:numPr>
            </w:pPr>
            <w:r w:rsidRPr="009711FF">
              <w:t>Colleagues whose activities are a mix of remotely and periodic onsite work and/or meetings with third parties and businesses, going on site visits, and occasional resident engagement</w:t>
            </w:r>
          </w:p>
        </w:tc>
      </w:tr>
      <w:tr w:rsidR="00FB2EC5" w14:paraId="7EDA1153" w14:textId="77777777" w:rsidTr="2F303D0D">
        <w:trPr>
          <w:trHeight w:val="300"/>
        </w:trPr>
        <w:tc>
          <w:tcPr>
            <w:tcW w:w="10188" w:type="dxa"/>
          </w:tcPr>
          <w:p w14:paraId="71344F7B" w14:textId="474767D8" w:rsidR="00FB2EC5" w:rsidRDefault="00FB2EC5" w:rsidP="00FB2EC5">
            <w:pPr>
              <w:pStyle w:val="BodytextIslington"/>
            </w:pPr>
            <w:r>
              <w:t>This post requires a DBS check at the appropriate level (Enhanced with Barring</w:t>
            </w:r>
            <w:r w:rsidR="002B73EC">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lastRenderedPageBreak/>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648C8AC3" w14:textId="616172F3" w:rsidR="002B73EC" w:rsidRPr="002B73EC" w:rsidRDefault="002B73EC" w:rsidP="002B73EC">
      <w:pPr>
        <w:spacing w:before="100" w:beforeAutospacing="1" w:after="100" w:afterAutospacing="1"/>
        <w:rPr>
          <w:rFonts w:ascii="Times New Roman" w:eastAsia="Times New Roman" w:hAnsi="Times New Roman" w:cs="Times New Roman"/>
        </w:rPr>
      </w:pPr>
      <w:r w:rsidRPr="002B73EC">
        <w:rPr>
          <w:rFonts w:ascii="Times New Roman" w:eastAsia="Times New Roman" w:hAnsi="Times New Roman" w:cs="Times New Roman"/>
        </w:rPr>
        <w:t>Provide urgent out-of-hours social work support across children’s services, mental health, and adult care. Operating independently, you’ll assess risk, make safeguarding decisions, and coordinate emergency interventions, including as an Approved Mental Health Professional (AMHP). This role demands strong legal knowledge, crisis management skills, and confident multi-agency collaboration. You’ll be pivotal in delivering safe, responsive services during evenings, weekends, and bank holidays.</w:t>
      </w:r>
    </w:p>
    <w:p w14:paraId="0A9B6129" w14:textId="77777777" w:rsidR="002B73EC" w:rsidRDefault="00175B58" w:rsidP="002B73EC">
      <w:pPr>
        <w:pStyle w:val="Heading2"/>
      </w:pPr>
      <w:r>
        <w:t>Key responsibilities</w:t>
      </w:r>
    </w:p>
    <w:p w14:paraId="03E74EF9" w14:textId="77777777" w:rsidR="008F5E43" w:rsidRPr="008F5E43" w:rsidRDefault="00607BD0" w:rsidP="008F5E43">
      <w:r>
        <w:pict w14:anchorId="2C096B54">
          <v:rect id="_x0000_i1025" style="width:0;height:1.5pt" o:hralign="center" o:hrstd="t" o:hr="t" fillcolor="#a0a0a0" stroked="f"/>
        </w:pict>
      </w:r>
    </w:p>
    <w:p w14:paraId="5BCD48AE" w14:textId="77777777" w:rsidR="008F5E43" w:rsidRPr="008F5E43" w:rsidRDefault="008F5E43" w:rsidP="008F5E43">
      <w:pPr>
        <w:numPr>
          <w:ilvl w:val="0"/>
          <w:numId w:val="20"/>
        </w:numPr>
        <w:tabs>
          <w:tab w:val="num" w:pos="720"/>
        </w:tabs>
      </w:pPr>
      <w:r w:rsidRPr="008F5E43">
        <w:t xml:space="preserve">Working alone, to take responsibility for the provision of an emergency social work service for children and families, mental health and community care. To ensure that work is prioritised </w:t>
      </w:r>
      <w:proofErr w:type="gramStart"/>
      <w:r w:rsidRPr="008F5E43">
        <w:t>in order to</w:t>
      </w:r>
      <w:proofErr w:type="gramEnd"/>
      <w:r w:rsidRPr="008F5E43">
        <w:t xml:space="preserve"> ensure a safe and effective service.</w:t>
      </w:r>
    </w:p>
    <w:p w14:paraId="6D6A1D45" w14:textId="77777777" w:rsidR="008F5E43" w:rsidRPr="008F5E43" w:rsidRDefault="008F5E43" w:rsidP="008F5E43">
      <w:pPr>
        <w:numPr>
          <w:ilvl w:val="0"/>
          <w:numId w:val="20"/>
        </w:numPr>
        <w:tabs>
          <w:tab w:val="num" w:pos="720"/>
        </w:tabs>
      </w:pPr>
      <w:r w:rsidRPr="008F5E43">
        <w:t xml:space="preserve">To work standard EDT shifts, by agreement, as and when requested by the Team Manager. There is no obligation on either party to either offer or accept any </w:t>
      </w:r>
      <w:proofErr w:type="gramStart"/>
      <w:r w:rsidRPr="008F5E43">
        <w:t>particular duty</w:t>
      </w:r>
      <w:proofErr w:type="gramEnd"/>
      <w:r w:rsidRPr="008F5E43">
        <w:t xml:space="preserve"> session.</w:t>
      </w:r>
    </w:p>
    <w:p w14:paraId="1AF1DF39" w14:textId="77777777" w:rsidR="008F5E43" w:rsidRPr="008F5E43" w:rsidRDefault="008F5E43" w:rsidP="008F5E43">
      <w:pPr>
        <w:numPr>
          <w:ilvl w:val="0"/>
          <w:numId w:val="20"/>
        </w:numPr>
        <w:tabs>
          <w:tab w:val="num" w:pos="720"/>
        </w:tabs>
      </w:pPr>
      <w:r w:rsidRPr="008F5E43">
        <w:t>To act as an Approved Mental Health Professional for the purposes of the Mental Health Act. To maintain this status by taking part in appropriate training, professional development and re-approval processes. To inform the line manager if you begin to act as an AMHP for another local authority (or when such authority ends.)</w:t>
      </w:r>
    </w:p>
    <w:p w14:paraId="4C0D4AA0" w14:textId="3069C7B7" w:rsidR="008F5E43" w:rsidRPr="008F5E43" w:rsidRDefault="008F5E43" w:rsidP="008F5E43">
      <w:pPr>
        <w:numPr>
          <w:ilvl w:val="0"/>
          <w:numId w:val="20"/>
        </w:numPr>
        <w:tabs>
          <w:tab w:val="num" w:pos="720"/>
        </w:tabs>
      </w:pPr>
      <w:r w:rsidRPr="008F5E43">
        <w:t>To maintain registration as a social worker and inform the line manager immediately if that registration is withdrawn or otherwise called into question.</w:t>
      </w:r>
    </w:p>
    <w:p w14:paraId="34F4A974" w14:textId="77777777" w:rsidR="008F5E43" w:rsidRPr="008F5E43" w:rsidRDefault="008F5E43" w:rsidP="008F5E43">
      <w:pPr>
        <w:numPr>
          <w:ilvl w:val="0"/>
          <w:numId w:val="20"/>
        </w:numPr>
        <w:tabs>
          <w:tab w:val="num" w:pos="720"/>
        </w:tabs>
      </w:pPr>
      <w:r w:rsidRPr="008F5E43">
        <w:t>To provide professional advice in respect of child protection policy and practice, and to undertake investigation and initiate action to protect children where necessary. To investigate the circumstances of children at risk of harm, children in need and to support, advise and, where necessary, take action to alleviate needs identified.</w:t>
      </w:r>
    </w:p>
    <w:p w14:paraId="29158C00" w14:textId="77777777" w:rsidR="008F5E43" w:rsidRPr="008F5E43" w:rsidRDefault="008F5E43" w:rsidP="008F5E43">
      <w:pPr>
        <w:numPr>
          <w:ilvl w:val="0"/>
          <w:numId w:val="20"/>
        </w:numPr>
        <w:tabs>
          <w:tab w:val="num" w:pos="720"/>
        </w:tabs>
      </w:pPr>
      <w:r w:rsidRPr="008F5E43">
        <w:t xml:space="preserve">To take decisions about the accommodation of children and where appropriate to arrange placements. In conjunction with senior staff, to arrange and agree packages of care with </w:t>
      </w:r>
      <w:proofErr w:type="gramStart"/>
      <w:r w:rsidRPr="008F5E43">
        <w:t>Independent</w:t>
      </w:r>
      <w:proofErr w:type="gramEnd"/>
      <w:r w:rsidRPr="008F5E43">
        <w:t xml:space="preserve"> provider services.</w:t>
      </w:r>
    </w:p>
    <w:p w14:paraId="3AA8B311" w14:textId="77777777" w:rsidR="008F5E43" w:rsidRPr="008F5E43" w:rsidRDefault="008F5E43" w:rsidP="008F5E43">
      <w:pPr>
        <w:numPr>
          <w:ilvl w:val="0"/>
          <w:numId w:val="20"/>
        </w:numPr>
        <w:tabs>
          <w:tab w:val="num" w:pos="720"/>
        </w:tabs>
      </w:pPr>
      <w:r w:rsidRPr="008F5E43">
        <w:t>To assess the need for statutory orders under the Children Act, and where necessary to arrange and action these. To commission packages of care within agreed limits. Where necessary to arrange placements in Part III accommodation for adults.</w:t>
      </w:r>
    </w:p>
    <w:p w14:paraId="74EA6F8F" w14:textId="77777777" w:rsidR="008F5E43" w:rsidRPr="008F5E43" w:rsidRDefault="008F5E43" w:rsidP="008F5E43">
      <w:pPr>
        <w:numPr>
          <w:ilvl w:val="0"/>
          <w:numId w:val="20"/>
        </w:numPr>
        <w:tabs>
          <w:tab w:val="num" w:pos="720"/>
        </w:tabs>
      </w:pPr>
      <w:r w:rsidRPr="008F5E43">
        <w:t>To assist in the development and maintenance of good working relationships with partner agencies. To ensure that senior staffs are notified about sensitive or serious issues.</w:t>
      </w:r>
    </w:p>
    <w:p w14:paraId="60C6BFBA" w14:textId="77777777" w:rsidR="008F5E43" w:rsidRPr="008F5E43" w:rsidRDefault="008F5E43" w:rsidP="008F5E43">
      <w:pPr>
        <w:numPr>
          <w:ilvl w:val="0"/>
          <w:numId w:val="20"/>
        </w:numPr>
        <w:tabs>
          <w:tab w:val="num" w:pos="720"/>
        </w:tabs>
      </w:pPr>
      <w:r w:rsidRPr="008F5E43">
        <w:t>To ensure that all services are delivered and decisions taken in accordance with the relevant law, Council policies, and departmental procedures.</w:t>
      </w:r>
    </w:p>
    <w:p w14:paraId="43B6294C" w14:textId="77777777" w:rsidR="008F5E43" w:rsidRPr="008F5E43" w:rsidRDefault="008F5E43" w:rsidP="008F5E43">
      <w:pPr>
        <w:numPr>
          <w:ilvl w:val="0"/>
          <w:numId w:val="20"/>
        </w:numPr>
        <w:tabs>
          <w:tab w:val="num" w:pos="720"/>
        </w:tabs>
      </w:pPr>
      <w:r w:rsidRPr="008F5E43">
        <w:t xml:space="preserve">To participate in supervision in accordance with Islington policy, amended </w:t>
      </w:r>
      <w:proofErr w:type="gramStart"/>
      <w:r w:rsidRPr="008F5E43">
        <w:t>so as to</w:t>
      </w:r>
      <w:proofErr w:type="gramEnd"/>
      <w:r w:rsidRPr="008F5E43">
        <w:t xml:space="preserve"> reflect the </w:t>
      </w:r>
      <w:proofErr w:type="gramStart"/>
      <w:r w:rsidRPr="008F5E43">
        <w:t>particular circumstances</w:t>
      </w:r>
      <w:proofErr w:type="gramEnd"/>
      <w:r w:rsidRPr="008F5E43">
        <w:t xml:space="preserve"> of sessional work.</w:t>
      </w:r>
    </w:p>
    <w:p w14:paraId="3E5B2393" w14:textId="77777777" w:rsidR="008F5E43" w:rsidRPr="008F5E43" w:rsidRDefault="008F5E43" w:rsidP="008F5E43">
      <w:pPr>
        <w:numPr>
          <w:ilvl w:val="0"/>
          <w:numId w:val="20"/>
        </w:numPr>
        <w:tabs>
          <w:tab w:val="num" w:pos="720"/>
        </w:tabs>
      </w:pPr>
      <w:r w:rsidRPr="008F5E43">
        <w:lastRenderedPageBreak/>
        <w:t xml:space="preserve">To use IT systems extensively in the performance of official duties, </w:t>
      </w:r>
      <w:proofErr w:type="gramStart"/>
      <w:r w:rsidRPr="008F5E43">
        <w:t>in particular in</w:t>
      </w:r>
      <w:proofErr w:type="gramEnd"/>
      <w:r w:rsidRPr="008F5E43">
        <w:t xml:space="preserve"> recording and communicating work. To meet the required standards in the completion and dissemination of work records following duty sessions. To maintain sufficient records for the purposes required and to the standards required.</w:t>
      </w:r>
    </w:p>
    <w:p w14:paraId="49708582" w14:textId="77777777" w:rsidR="008F5E43" w:rsidRPr="008F5E43" w:rsidRDefault="008F5E43" w:rsidP="008F5E43">
      <w:pPr>
        <w:numPr>
          <w:ilvl w:val="0"/>
          <w:numId w:val="20"/>
        </w:numPr>
        <w:tabs>
          <w:tab w:val="num" w:pos="720"/>
        </w:tabs>
      </w:pPr>
      <w:r w:rsidRPr="008F5E43">
        <w:t>At all times to carry out all duties and responsibilities in accordance with the Council’s Equal Opportunities Policy and Health &amp; Safety legislation and the Council’s Health &amp; Safety policy. To undertake such other minor and non-recurring duties appropriate to the post as may be requested.</w:t>
      </w:r>
    </w:p>
    <w:p w14:paraId="4943516F" w14:textId="48BC313D" w:rsidR="002B73EC" w:rsidRPr="002B73EC" w:rsidRDefault="002B73EC" w:rsidP="002B73EC"/>
    <w:p w14:paraId="104F6B44" w14:textId="65518881"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3126716C" w14:textId="05C65D85"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14BD2F00" w:rsidR="005362E2" w:rsidRPr="00F41E1E" w:rsidRDefault="00E33888" w:rsidP="00E33888">
            <w:pPr>
              <w:pStyle w:val="BodytextIslington"/>
              <w:rPr>
                <w:rFonts w:cs="Tahoma"/>
                <w:color w:val="000000"/>
                <w:shd w:val="clear" w:color="auto" w:fill="FFFFFF"/>
              </w:rPr>
            </w:pPr>
            <w:r w:rsidRPr="00E33888">
              <w:rPr>
                <w:rFonts w:cs="Tahoma"/>
                <w:color w:val="000000"/>
                <w:shd w:val="clear" w:color="auto" w:fill="FFFFFF"/>
              </w:rPr>
              <w:t xml:space="preserve">Hold </w:t>
            </w:r>
            <w:proofErr w:type="spellStart"/>
            <w:r w:rsidRPr="00E33888">
              <w:rPr>
                <w:rFonts w:cs="Tahoma"/>
                <w:color w:val="000000"/>
                <w:shd w:val="clear" w:color="auto" w:fill="FFFFFF"/>
              </w:rPr>
              <w:t>DipSW</w:t>
            </w:r>
            <w:proofErr w:type="spellEnd"/>
            <w:r w:rsidRPr="00E33888">
              <w:rPr>
                <w:rFonts w:cs="Tahoma"/>
                <w:color w:val="000000"/>
                <w:shd w:val="clear" w:color="auto" w:fill="FFFFFF"/>
              </w:rPr>
              <w:t xml:space="preserve"> or other approved equivalent </w:t>
            </w:r>
            <w:proofErr w:type="gramStart"/>
            <w:r w:rsidRPr="00E33888">
              <w:rPr>
                <w:rFonts w:cs="Tahoma"/>
                <w:color w:val="000000"/>
                <w:shd w:val="clear" w:color="auto" w:fill="FFFFFF"/>
              </w:rPr>
              <w:t>qualification, and</w:t>
            </w:r>
            <w:proofErr w:type="gramEnd"/>
            <w:r w:rsidRPr="00E33888">
              <w:rPr>
                <w:rFonts w:cs="Tahoma"/>
                <w:color w:val="000000"/>
                <w:shd w:val="clear" w:color="auto" w:fill="FFFFFF"/>
              </w:rPr>
              <w:t xml:space="preserve"> be registered as a social worker with the Health and Care Professional Council.</w:t>
            </w:r>
          </w:p>
        </w:tc>
        <w:tc>
          <w:tcPr>
            <w:tcW w:w="2693" w:type="dxa"/>
          </w:tcPr>
          <w:p w14:paraId="23AFD449" w14:textId="55D03066" w:rsidR="005362E2" w:rsidRPr="00E33888" w:rsidRDefault="005362E2" w:rsidP="00E33888">
            <w:pPr>
              <w:pStyle w:val="BodytextIslington"/>
              <w:jc w:val="center"/>
              <w:rPr>
                <w:rFonts w:eastAsia="Tahoma" w:cs="Tahoma"/>
                <w:i/>
                <w:iCs/>
              </w:rPr>
            </w:pPr>
            <w:r w:rsidRPr="00E33888">
              <w:rPr>
                <w:rFonts w:eastAsia="Tahoma" w:cs="Tahoma"/>
                <w:i/>
                <w:iCs/>
              </w:rPr>
              <w:t>Essential</w:t>
            </w:r>
          </w:p>
        </w:tc>
      </w:tr>
      <w:tr w:rsidR="00E33888" w14:paraId="0B290542" w14:textId="0119CDA4" w:rsidTr="003036D8">
        <w:trPr>
          <w:cantSplit/>
          <w:trHeight w:val="313"/>
        </w:trPr>
        <w:tc>
          <w:tcPr>
            <w:tcW w:w="846" w:type="dxa"/>
          </w:tcPr>
          <w:p w14:paraId="300D22B7" w14:textId="2D50E138" w:rsidR="00E33888" w:rsidRDefault="00E33888" w:rsidP="00E33888">
            <w:pPr>
              <w:pStyle w:val="BodytextIslington"/>
            </w:pPr>
            <w:r>
              <w:t>2</w:t>
            </w:r>
          </w:p>
        </w:tc>
        <w:tc>
          <w:tcPr>
            <w:tcW w:w="6667" w:type="dxa"/>
          </w:tcPr>
          <w:p w14:paraId="02F996BC" w14:textId="7FAB5B19" w:rsidR="00E33888" w:rsidRPr="00F41E1E" w:rsidRDefault="00E33888" w:rsidP="00E33888">
            <w:pPr>
              <w:pStyle w:val="BodytextIslington"/>
              <w:rPr>
                <w:rFonts w:cs="Tahoma"/>
                <w:color w:val="000000"/>
                <w:shd w:val="clear" w:color="auto" w:fill="FFFFFF"/>
              </w:rPr>
            </w:pPr>
            <w:r w:rsidRPr="00E33888">
              <w:rPr>
                <w:rFonts w:cs="Tahoma"/>
                <w:color w:val="000000"/>
                <w:shd w:val="clear" w:color="auto" w:fill="FFFFFF"/>
              </w:rPr>
              <w:t>Have a minimum of five years post-qualifying experience in Social Work across of range of specialisms</w:t>
            </w:r>
          </w:p>
        </w:tc>
        <w:tc>
          <w:tcPr>
            <w:tcW w:w="2693" w:type="dxa"/>
          </w:tcPr>
          <w:p w14:paraId="3C184C04" w14:textId="58C1C3B7" w:rsidR="00E33888" w:rsidRPr="00E33888" w:rsidRDefault="00E33888" w:rsidP="00E33888">
            <w:pPr>
              <w:pStyle w:val="BodytextIslington"/>
              <w:jc w:val="center"/>
              <w:rPr>
                <w:rFonts w:eastAsia="Tahoma" w:cs="Tahoma"/>
                <w:i/>
                <w:iCs/>
              </w:rPr>
            </w:pPr>
            <w:r w:rsidRPr="00E33888">
              <w:rPr>
                <w:rFonts w:eastAsia="Tahoma" w:cs="Tahoma"/>
                <w:i/>
                <w:iCs/>
              </w:rPr>
              <w:t>Essential</w:t>
            </w:r>
          </w:p>
        </w:tc>
      </w:tr>
      <w:tr w:rsidR="00E33888" w14:paraId="4BCCAB16" w14:textId="328C9A0F" w:rsidTr="003036D8">
        <w:trPr>
          <w:cantSplit/>
          <w:trHeight w:val="313"/>
        </w:trPr>
        <w:tc>
          <w:tcPr>
            <w:tcW w:w="846" w:type="dxa"/>
          </w:tcPr>
          <w:p w14:paraId="6AD2156C" w14:textId="2F9309A3" w:rsidR="00E33888" w:rsidRDefault="00E33888" w:rsidP="00E33888">
            <w:pPr>
              <w:pStyle w:val="BodytextIslington"/>
            </w:pPr>
            <w:r>
              <w:t>3</w:t>
            </w:r>
          </w:p>
        </w:tc>
        <w:tc>
          <w:tcPr>
            <w:tcW w:w="6667" w:type="dxa"/>
          </w:tcPr>
          <w:p w14:paraId="188CCECA" w14:textId="182070C6" w:rsidR="00E33888" w:rsidRPr="00F41E1E" w:rsidRDefault="00E33888" w:rsidP="00E33888">
            <w:pPr>
              <w:pStyle w:val="BodytextIslington"/>
              <w:rPr>
                <w:rFonts w:cs="Tahoma"/>
                <w:color w:val="000000"/>
                <w:shd w:val="clear" w:color="auto" w:fill="FFFFFF"/>
              </w:rPr>
            </w:pPr>
            <w:r w:rsidRPr="00E33888">
              <w:rPr>
                <w:rFonts w:cs="Tahoma"/>
                <w:color w:val="000000"/>
                <w:shd w:val="clear" w:color="auto" w:fill="FFFFFF"/>
              </w:rPr>
              <w:t>Experience of working in a multi-cultural inner-city area, and</w:t>
            </w:r>
            <w:r>
              <w:rPr>
                <w:rFonts w:cs="Tahoma"/>
                <w:color w:val="000000"/>
                <w:shd w:val="clear" w:color="auto" w:fill="FFFFFF"/>
              </w:rPr>
              <w:t xml:space="preserve"> </w:t>
            </w:r>
            <w:r w:rsidRPr="00E33888">
              <w:rPr>
                <w:rFonts w:cs="Tahoma"/>
                <w:color w:val="000000"/>
                <w:shd w:val="clear" w:color="auto" w:fill="FFFFFF"/>
              </w:rPr>
              <w:t>experience of working for an Emergency Duty Team.</w:t>
            </w:r>
          </w:p>
        </w:tc>
        <w:tc>
          <w:tcPr>
            <w:tcW w:w="2693" w:type="dxa"/>
          </w:tcPr>
          <w:p w14:paraId="6CE5ED47" w14:textId="1BA956E2" w:rsidR="00E33888" w:rsidRPr="00E33888" w:rsidRDefault="00E33888" w:rsidP="00E33888">
            <w:pPr>
              <w:pStyle w:val="BodytextIslington"/>
              <w:jc w:val="center"/>
              <w:rPr>
                <w:rFonts w:eastAsia="Tahoma" w:cs="Tahoma"/>
                <w:i/>
                <w:iCs/>
              </w:rPr>
            </w:pPr>
            <w:r w:rsidRPr="00E33888">
              <w:rPr>
                <w:rFonts w:eastAsia="Tahoma" w:cs="Tahoma"/>
                <w:i/>
                <w:iCs/>
              </w:rPr>
              <w:t>Essential</w:t>
            </w:r>
          </w:p>
        </w:tc>
      </w:tr>
      <w:tr w:rsidR="00E33888" w14:paraId="724FA7F6" w14:textId="77777777" w:rsidTr="55F9FC32">
        <w:trPr>
          <w:cantSplit/>
          <w:trHeight w:val="313"/>
        </w:trPr>
        <w:tc>
          <w:tcPr>
            <w:tcW w:w="846" w:type="dxa"/>
          </w:tcPr>
          <w:p w14:paraId="4D42D8F2" w14:textId="36E58469" w:rsidR="00E33888" w:rsidRDefault="00E33888" w:rsidP="00E33888">
            <w:pPr>
              <w:pStyle w:val="BodytextIslington"/>
            </w:pPr>
            <w:r>
              <w:t>4</w:t>
            </w:r>
          </w:p>
        </w:tc>
        <w:tc>
          <w:tcPr>
            <w:tcW w:w="6667" w:type="dxa"/>
          </w:tcPr>
          <w:p w14:paraId="2B156EC9" w14:textId="33602818" w:rsidR="00E33888" w:rsidRDefault="00E33888" w:rsidP="00E33888">
            <w:pPr>
              <w:pStyle w:val="BodytextIslington"/>
              <w:rPr>
                <w:rFonts w:cs="Tahoma"/>
                <w:color w:val="000000" w:themeColor="text1"/>
              </w:rPr>
            </w:pPr>
            <w:r w:rsidRPr="00E33888">
              <w:rPr>
                <w:rFonts w:cs="Tahoma"/>
                <w:color w:val="000000" w:themeColor="text1"/>
              </w:rPr>
              <w:t>Be currently an Approved Mental Health Professional as per the Mental Health Act 1983, and eligible to be appointed as such by LB Islington.</w:t>
            </w:r>
          </w:p>
        </w:tc>
        <w:tc>
          <w:tcPr>
            <w:tcW w:w="2693" w:type="dxa"/>
          </w:tcPr>
          <w:p w14:paraId="3452D3CC" w14:textId="062E64AE" w:rsidR="00E33888" w:rsidRPr="00E33888" w:rsidRDefault="00E33888" w:rsidP="00E33888">
            <w:pPr>
              <w:pStyle w:val="BodytextIslington"/>
              <w:jc w:val="center"/>
              <w:rPr>
                <w:rFonts w:eastAsia="Tahoma" w:cs="Tahoma"/>
                <w:i/>
                <w:iCs/>
              </w:rPr>
            </w:pPr>
            <w:r w:rsidRPr="00E33888">
              <w:rPr>
                <w:rFonts w:eastAsia="Tahoma" w:cs="Tahoma"/>
                <w:i/>
                <w:iCs/>
              </w:rPr>
              <w:t>Essential</w:t>
            </w:r>
          </w:p>
        </w:tc>
      </w:tr>
      <w:tr w:rsidR="00E33888" w14:paraId="5D1F652B" w14:textId="77777777" w:rsidTr="55F9FC32">
        <w:trPr>
          <w:cantSplit/>
          <w:trHeight w:val="313"/>
        </w:trPr>
        <w:tc>
          <w:tcPr>
            <w:tcW w:w="846" w:type="dxa"/>
          </w:tcPr>
          <w:p w14:paraId="79650A93" w14:textId="1A73323A" w:rsidR="00E33888" w:rsidRDefault="00E33888" w:rsidP="00E33888">
            <w:pPr>
              <w:pStyle w:val="BodytextIslington"/>
            </w:pPr>
            <w:r>
              <w:t>5</w:t>
            </w:r>
          </w:p>
        </w:tc>
        <w:tc>
          <w:tcPr>
            <w:tcW w:w="6667" w:type="dxa"/>
          </w:tcPr>
          <w:p w14:paraId="3453A389" w14:textId="2D7AFE47" w:rsidR="00E33888" w:rsidRPr="00E33888" w:rsidRDefault="00E33888" w:rsidP="00E33888">
            <w:pPr>
              <w:pStyle w:val="BodytextIslington"/>
              <w:rPr>
                <w:rFonts w:cs="Tahoma"/>
                <w:color w:val="000000" w:themeColor="text1"/>
              </w:rPr>
            </w:pPr>
            <w:r w:rsidRPr="00E33888">
              <w:rPr>
                <w:rFonts w:cs="Tahoma"/>
                <w:color w:val="000000" w:themeColor="text1"/>
              </w:rPr>
              <w:t>Be able to work from home, or equivalent. Location to be within reasonable distance of Islington.</w:t>
            </w:r>
          </w:p>
        </w:tc>
        <w:tc>
          <w:tcPr>
            <w:tcW w:w="2693" w:type="dxa"/>
          </w:tcPr>
          <w:p w14:paraId="07B59B9C" w14:textId="168EDE2F" w:rsidR="00E33888" w:rsidRPr="00E33888" w:rsidRDefault="00E33888" w:rsidP="00E33888">
            <w:pPr>
              <w:pStyle w:val="BodytextIslington"/>
              <w:jc w:val="center"/>
              <w:rPr>
                <w:rFonts w:eastAsia="Tahoma" w:cs="Tahoma"/>
                <w:i/>
                <w:iCs/>
              </w:rPr>
            </w:pPr>
            <w:r w:rsidRPr="00E33888">
              <w:rPr>
                <w:rFonts w:eastAsia="Tahoma" w:cs="Tahoma"/>
                <w:i/>
                <w:iCs/>
              </w:rPr>
              <w:t>Essential</w:t>
            </w:r>
          </w:p>
        </w:tc>
      </w:tr>
      <w:tr w:rsidR="00E33888" w14:paraId="152B3BE8" w14:textId="77777777" w:rsidTr="55F9FC32">
        <w:trPr>
          <w:cantSplit/>
          <w:trHeight w:val="313"/>
        </w:trPr>
        <w:tc>
          <w:tcPr>
            <w:tcW w:w="846" w:type="dxa"/>
          </w:tcPr>
          <w:p w14:paraId="0F7548DF" w14:textId="077CF794" w:rsidR="00E33888" w:rsidRDefault="00E33888" w:rsidP="00E33888">
            <w:pPr>
              <w:pStyle w:val="BodytextIslington"/>
            </w:pPr>
            <w:r>
              <w:t>6</w:t>
            </w:r>
          </w:p>
        </w:tc>
        <w:tc>
          <w:tcPr>
            <w:tcW w:w="6667" w:type="dxa"/>
          </w:tcPr>
          <w:p w14:paraId="21795DDE" w14:textId="6A1B6267" w:rsidR="00E33888" w:rsidRPr="00E33888" w:rsidRDefault="00E33888" w:rsidP="00E33888">
            <w:pPr>
              <w:pStyle w:val="BodytextIslington"/>
              <w:rPr>
                <w:rFonts w:cs="Tahoma"/>
                <w:color w:val="000000" w:themeColor="text1"/>
              </w:rPr>
            </w:pPr>
            <w:r w:rsidRPr="00E33888">
              <w:rPr>
                <w:rFonts w:cs="Tahoma"/>
                <w:color w:val="000000" w:themeColor="text1"/>
              </w:rPr>
              <w:t>A working knowledge of all relevant legislation including: the Children Act 1989 and 2004: the Mental Health Act 1983: the Community Care &amp; NHS Act. Human rights legislation.</w:t>
            </w:r>
          </w:p>
        </w:tc>
        <w:tc>
          <w:tcPr>
            <w:tcW w:w="2693" w:type="dxa"/>
          </w:tcPr>
          <w:p w14:paraId="4812D2BB" w14:textId="3B0069EF" w:rsidR="00E33888" w:rsidRPr="00E33888" w:rsidRDefault="00E33888" w:rsidP="00E33888">
            <w:pPr>
              <w:pStyle w:val="BodytextIslington"/>
              <w:jc w:val="center"/>
              <w:rPr>
                <w:rFonts w:eastAsia="Tahoma" w:cs="Tahoma"/>
                <w:i/>
                <w:iCs/>
              </w:rPr>
            </w:pPr>
            <w:r w:rsidRPr="00E33888">
              <w:rPr>
                <w:rFonts w:eastAsia="Tahoma" w:cs="Tahoma"/>
                <w:i/>
                <w:iCs/>
              </w:rPr>
              <w:t>Essential</w:t>
            </w:r>
          </w:p>
        </w:tc>
      </w:tr>
      <w:tr w:rsidR="00E33888" w14:paraId="071A5890" w14:textId="77777777" w:rsidTr="55F9FC32">
        <w:trPr>
          <w:cantSplit/>
          <w:trHeight w:val="313"/>
        </w:trPr>
        <w:tc>
          <w:tcPr>
            <w:tcW w:w="846" w:type="dxa"/>
          </w:tcPr>
          <w:p w14:paraId="19F45BA2" w14:textId="2517E8D4" w:rsidR="00E33888" w:rsidRDefault="00E33888" w:rsidP="00E33888">
            <w:pPr>
              <w:pStyle w:val="BodytextIslington"/>
            </w:pPr>
            <w:r>
              <w:t>7</w:t>
            </w:r>
          </w:p>
        </w:tc>
        <w:tc>
          <w:tcPr>
            <w:tcW w:w="6667" w:type="dxa"/>
          </w:tcPr>
          <w:p w14:paraId="4E6C2055" w14:textId="51A0D1F9" w:rsidR="00E33888" w:rsidRPr="00E33888" w:rsidRDefault="00E33888" w:rsidP="00E33888">
            <w:pPr>
              <w:pStyle w:val="BodytextIslington"/>
              <w:rPr>
                <w:rFonts w:cs="Tahoma"/>
                <w:color w:val="000000" w:themeColor="text1"/>
              </w:rPr>
            </w:pPr>
            <w:r w:rsidRPr="00E33888">
              <w:rPr>
                <w:rFonts w:cs="Tahoma"/>
                <w:color w:val="000000" w:themeColor="text1"/>
              </w:rPr>
              <w:t>An ability to undertake risk assessments and make evidence-based decisions about departmental response to the needs of the service users, and carers.</w:t>
            </w:r>
          </w:p>
        </w:tc>
        <w:tc>
          <w:tcPr>
            <w:tcW w:w="2693" w:type="dxa"/>
          </w:tcPr>
          <w:p w14:paraId="25213C7D" w14:textId="3D9102DF" w:rsidR="00E33888" w:rsidRPr="00E33888" w:rsidRDefault="00E33888" w:rsidP="00E33888">
            <w:pPr>
              <w:pStyle w:val="BodytextIslington"/>
              <w:jc w:val="center"/>
              <w:rPr>
                <w:rFonts w:eastAsia="Tahoma" w:cs="Tahoma"/>
                <w:i/>
                <w:iCs/>
              </w:rPr>
            </w:pPr>
            <w:r w:rsidRPr="00E33888">
              <w:rPr>
                <w:rFonts w:eastAsia="Tahoma" w:cs="Tahoma"/>
                <w:i/>
                <w:iCs/>
              </w:rPr>
              <w:t>Essential</w:t>
            </w:r>
          </w:p>
        </w:tc>
      </w:tr>
      <w:tr w:rsidR="00E33888" w14:paraId="70028C93" w14:textId="77777777" w:rsidTr="55F9FC32">
        <w:trPr>
          <w:cantSplit/>
          <w:trHeight w:val="313"/>
        </w:trPr>
        <w:tc>
          <w:tcPr>
            <w:tcW w:w="846" w:type="dxa"/>
          </w:tcPr>
          <w:p w14:paraId="511CDD25" w14:textId="214BD2B3" w:rsidR="00E33888" w:rsidRDefault="00E33888" w:rsidP="00E33888">
            <w:pPr>
              <w:pStyle w:val="BodytextIslington"/>
            </w:pPr>
            <w:r>
              <w:t>8</w:t>
            </w:r>
          </w:p>
        </w:tc>
        <w:tc>
          <w:tcPr>
            <w:tcW w:w="6667" w:type="dxa"/>
          </w:tcPr>
          <w:p w14:paraId="5B5CAC1B" w14:textId="2C03D9AB" w:rsidR="00E33888" w:rsidRPr="00E33888" w:rsidRDefault="00E33888" w:rsidP="00E33888">
            <w:pPr>
              <w:pStyle w:val="BodytextIslington"/>
              <w:rPr>
                <w:rFonts w:cs="Tahoma"/>
                <w:color w:val="000000" w:themeColor="text1"/>
              </w:rPr>
            </w:pPr>
            <w:r w:rsidRPr="00E33888">
              <w:rPr>
                <w:rFonts w:cs="Tahoma"/>
                <w:color w:val="000000" w:themeColor="text1"/>
              </w:rPr>
              <w:t>An ability to prioritise and deploy resources including social work time to ensure that needs are responded to in a safe, effective, efficient and equitable manner</w:t>
            </w:r>
          </w:p>
        </w:tc>
        <w:tc>
          <w:tcPr>
            <w:tcW w:w="2693" w:type="dxa"/>
          </w:tcPr>
          <w:p w14:paraId="0D437595" w14:textId="511E8085" w:rsidR="00E33888" w:rsidRPr="00E33888" w:rsidRDefault="00E33888" w:rsidP="00E33888">
            <w:pPr>
              <w:pStyle w:val="BodytextIslington"/>
              <w:jc w:val="center"/>
              <w:rPr>
                <w:rFonts w:eastAsia="Tahoma" w:cs="Tahoma"/>
                <w:i/>
                <w:iCs/>
              </w:rPr>
            </w:pPr>
            <w:r w:rsidRPr="00E33888">
              <w:rPr>
                <w:rFonts w:eastAsia="Tahoma" w:cs="Tahoma"/>
                <w:i/>
                <w:iCs/>
              </w:rPr>
              <w:t>Essential</w:t>
            </w:r>
          </w:p>
        </w:tc>
      </w:tr>
      <w:tr w:rsidR="00E33888" w14:paraId="4C0AE75B" w14:textId="77777777" w:rsidTr="55F9FC32">
        <w:trPr>
          <w:cantSplit/>
          <w:trHeight w:val="313"/>
        </w:trPr>
        <w:tc>
          <w:tcPr>
            <w:tcW w:w="846" w:type="dxa"/>
          </w:tcPr>
          <w:p w14:paraId="4DCF32D6" w14:textId="74DEF404" w:rsidR="00E33888" w:rsidRDefault="00E33888" w:rsidP="00E33888">
            <w:pPr>
              <w:pStyle w:val="BodytextIslington"/>
            </w:pPr>
            <w:r>
              <w:t>9</w:t>
            </w:r>
          </w:p>
        </w:tc>
        <w:tc>
          <w:tcPr>
            <w:tcW w:w="6667" w:type="dxa"/>
          </w:tcPr>
          <w:p w14:paraId="20DE2A7D" w14:textId="345C8A6E" w:rsidR="00E33888" w:rsidRPr="00E33888" w:rsidRDefault="00E33888" w:rsidP="00E33888">
            <w:pPr>
              <w:pStyle w:val="BodytextIslington"/>
              <w:rPr>
                <w:rFonts w:cs="Tahoma"/>
                <w:color w:val="000000" w:themeColor="text1"/>
              </w:rPr>
            </w:pPr>
            <w:r w:rsidRPr="00E33888">
              <w:rPr>
                <w:rFonts w:cs="Tahoma"/>
                <w:color w:val="000000" w:themeColor="text1"/>
              </w:rPr>
              <w:t>An ability to form and maintain professional relationships with staff, senior managers, members of the public and other professionals</w:t>
            </w:r>
          </w:p>
        </w:tc>
        <w:tc>
          <w:tcPr>
            <w:tcW w:w="2693" w:type="dxa"/>
          </w:tcPr>
          <w:p w14:paraId="0610C2B9" w14:textId="6645D409" w:rsidR="00E33888" w:rsidRPr="00E33888" w:rsidRDefault="00E33888" w:rsidP="00E33888">
            <w:pPr>
              <w:pStyle w:val="BodytextIslington"/>
              <w:jc w:val="center"/>
              <w:rPr>
                <w:rFonts w:eastAsia="Tahoma" w:cs="Tahoma"/>
                <w:b/>
                <w:bCs/>
              </w:rPr>
            </w:pPr>
            <w:r>
              <w:rPr>
                <w:rFonts w:eastAsia="Tahoma" w:cs="Tahoma"/>
              </w:rPr>
              <w:t>Essential</w:t>
            </w:r>
          </w:p>
        </w:tc>
      </w:tr>
      <w:tr w:rsidR="00E33888" w14:paraId="795E7F45" w14:textId="77777777" w:rsidTr="55F9FC32">
        <w:trPr>
          <w:cantSplit/>
          <w:trHeight w:val="313"/>
        </w:trPr>
        <w:tc>
          <w:tcPr>
            <w:tcW w:w="846" w:type="dxa"/>
          </w:tcPr>
          <w:p w14:paraId="69129EF6" w14:textId="5C548F55" w:rsidR="00E33888" w:rsidRDefault="00E33888" w:rsidP="00E33888">
            <w:pPr>
              <w:pStyle w:val="BodytextIslington"/>
            </w:pPr>
            <w:r>
              <w:lastRenderedPageBreak/>
              <w:t>10</w:t>
            </w:r>
          </w:p>
        </w:tc>
        <w:tc>
          <w:tcPr>
            <w:tcW w:w="6667" w:type="dxa"/>
          </w:tcPr>
          <w:p w14:paraId="0A69430C" w14:textId="73AA3B43" w:rsidR="00E33888" w:rsidRPr="00E33888" w:rsidRDefault="00E33888" w:rsidP="00E33888">
            <w:pPr>
              <w:pStyle w:val="BodytextIslington"/>
              <w:rPr>
                <w:rFonts w:cs="Tahoma"/>
                <w:color w:val="000000" w:themeColor="text1"/>
              </w:rPr>
            </w:pPr>
            <w:r w:rsidRPr="00E33888">
              <w:rPr>
                <w:rFonts w:cs="Tahoma"/>
                <w:color w:val="000000" w:themeColor="text1"/>
              </w:rPr>
              <w:t>An ability to understand the impact of oppressions based on age, gender, race, sexuality, health status and immigration status and to promote anti-oppressive and anti-discriminatory practice.</w:t>
            </w:r>
          </w:p>
        </w:tc>
        <w:tc>
          <w:tcPr>
            <w:tcW w:w="2693" w:type="dxa"/>
          </w:tcPr>
          <w:p w14:paraId="033DEA9F" w14:textId="2B08C4D2" w:rsidR="00E33888" w:rsidRDefault="00E33888" w:rsidP="00E33888">
            <w:pPr>
              <w:pStyle w:val="BodytextIslington"/>
              <w:jc w:val="center"/>
              <w:rPr>
                <w:rFonts w:eastAsia="Tahoma" w:cs="Tahoma"/>
              </w:rPr>
            </w:pPr>
            <w:r>
              <w:rPr>
                <w:rFonts w:eastAsia="Tahoma" w:cs="Tahoma"/>
              </w:rPr>
              <w:t>Essential</w:t>
            </w:r>
          </w:p>
        </w:tc>
      </w:tr>
      <w:tr w:rsidR="00E33888" w14:paraId="2E1F3B3C" w14:textId="77777777" w:rsidTr="55F9FC32">
        <w:trPr>
          <w:cantSplit/>
          <w:trHeight w:val="313"/>
        </w:trPr>
        <w:tc>
          <w:tcPr>
            <w:tcW w:w="846" w:type="dxa"/>
          </w:tcPr>
          <w:p w14:paraId="370176C5" w14:textId="5E8F33EB" w:rsidR="00E33888" w:rsidRDefault="00E33888" w:rsidP="00E33888">
            <w:pPr>
              <w:pStyle w:val="BodytextIslington"/>
            </w:pPr>
            <w:r>
              <w:t>11</w:t>
            </w:r>
          </w:p>
        </w:tc>
        <w:tc>
          <w:tcPr>
            <w:tcW w:w="6667" w:type="dxa"/>
          </w:tcPr>
          <w:p w14:paraId="4E363EFA" w14:textId="42FB7060" w:rsidR="00E33888" w:rsidRPr="00E33888" w:rsidRDefault="00E33888" w:rsidP="00E33888">
            <w:pPr>
              <w:pStyle w:val="BodytextIslington"/>
              <w:rPr>
                <w:rFonts w:cs="Tahoma"/>
                <w:color w:val="000000" w:themeColor="text1"/>
              </w:rPr>
            </w:pPr>
            <w:r w:rsidRPr="00E33888">
              <w:rPr>
                <w:rFonts w:cs="Tahoma"/>
                <w:color w:val="000000" w:themeColor="text1"/>
              </w:rPr>
              <w:t>Ability to ensure that the Council’s services are delivered within an Equal Opportunities framework.</w:t>
            </w:r>
          </w:p>
        </w:tc>
        <w:tc>
          <w:tcPr>
            <w:tcW w:w="2693" w:type="dxa"/>
          </w:tcPr>
          <w:p w14:paraId="121AEDBE" w14:textId="5451A588" w:rsidR="00E33888" w:rsidRPr="00E33888" w:rsidRDefault="00E33888" w:rsidP="00E33888">
            <w:pPr>
              <w:pStyle w:val="BodytextIslington"/>
              <w:jc w:val="center"/>
              <w:rPr>
                <w:rFonts w:eastAsia="Tahoma" w:cs="Tahoma"/>
              </w:rPr>
            </w:pPr>
            <w:r w:rsidRPr="00E33888">
              <w:rPr>
                <w:rFonts w:eastAsia="Tahoma" w:cs="Tahoma"/>
              </w:rPr>
              <w:t>Essential</w:t>
            </w:r>
          </w:p>
        </w:tc>
      </w:tr>
      <w:tr w:rsidR="00E33888" w14:paraId="60DC26A4" w14:textId="77777777" w:rsidTr="55F9FC32">
        <w:trPr>
          <w:cantSplit/>
          <w:trHeight w:val="313"/>
        </w:trPr>
        <w:tc>
          <w:tcPr>
            <w:tcW w:w="846" w:type="dxa"/>
          </w:tcPr>
          <w:p w14:paraId="40BF4AB8" w14:textId="226EFE0F" w:rsidR="00E33888" w:rsidRDefault="00E33888" w:rsidP="00E33888">
            <w:pPr>
              <w:pStyle w:val="BodytextIslington"/>
            </w:pPr>
            <w:r>
              <w:t>12</w:t>
            </w:r>
          </w:p>
        </w:tc>
        <w:tc>
          <w:tcPr>
            <w:tcW w:w="6667" w:type="dxa"/>
          </w:tcPr>
          <w:p w14:paraId="05A25E32" w14:textId="357F253F" w:rsidR="00E33888" w:rsidRPr="00E33888" w:rsidRDefault="00E33888" w:rsidP="00E33888">
            <w:pPr>
              <w:pStyle w:val="BodytextIslington"/>
              <w:rPr>
                <w:rFonts w:cs="Tahoma"/>
                <w:color w:val="000000" w:themeColor="text1"/>
              </w:rPr>
            </w:pPr>
            <w:r w:rsidRPr="00E33888">
              <w:rPr>
                <w:rFonts w:cs="Tahoma"/>
                <w:color w:val="000000" w:themeColor="text1"/>
              </w:rPr>
              <w:t>An ability to identify those issues about which it is necessary to inform or consult senior staff.</w:t>
            </w:r>
          </w:p>
        </w:tc>
        <w:tc>
          <w:tcPr>
            <w:tcW w:w="2693" w:type="dxa"/>
          </w:tcPr>
          <w:p w14:paraId="4104667A" w14:textId="6734A3FA" w:rsidR="00E33888" w:rsidRPr="00E33888" w:rsidRDefault="00E33888" w:rsidP="00E33888">
            <w:pPr>
              <w:pStyle w:val="BodytextIslington"/>
              <w:jc w:val="center"/>
              <w:rPr>
                <w:rFonts w:eastAsia="Tahoma" w:cs="Tahoma"/>
                <w:b/>
                <w:bCs/>
              </w:rPr>
            </w:pPr>
            <w:r>
              <w:rPr>
                <w:rFonts w:eastAsia="Tahoma" w:cs="Tahoma"/>
              </w:rPr>
              <w:t>Essential</w:t>
            </w:r>
          </w:p>
        </w:tc>
      </w:tr>
      <w:tr w:rsidR="00E33888" w14:paraId="3829BD38" w14:textId="77777777" w:rsidTr="55F9FC32">
        <w:trPr>
          <w:cantSplit/>
          <w:trHeight w:val="313"/>
        </w:trPr>
        <w:tc>
          <w:tcPr>
            <w:tcW w:w="846" w:type="dxa"/>
          </w:tcPr>
          <w:p w14:paraId="7353071F" w14:textId="25F339BA" w:rsidR="00E33888" w:rsidRDefault="00E33888" w:rsidP="00E33888">
            <w:pPr>
              <w:pStyle w:val="BodytextIslington"/>
            </w:pPr>
            <w:r>
              <w:t>13</w:t>
            </w:r>
          </w:p>
        </w:tc>
        <w:tc>
          <w:tcPr>
            <w:tcW w:w="6667" w:type="dxa"/>
          </w:tcPr>
          <w:p w14:paraId="5345297F" w14:textId="39ED8FAC" w:rsidR="00E33888" w:rsidRPr="00E33888" w:rsidRDefault="00E33888" w:rsidP="00E33888">
            <w:pPr>
              <w:pStyle w:val="BodytextIslington"/>
              <w:rPr>
                <w:rFonts w:cs="Tahoma"/>
                <w:color w:val="000000" w:themeColor="text1"/>
              </w:rPr>
            </w:pPr>
            <w:r w:rsidRPr="00E33888">
              <w:rPr>
                <w:rFonts w:cs="Tahoma"/>
                <w:color w:val="000000" w:themeColor="text1"/>
              </w:rPr>
              <w:t>An ability to use IT systems as the primary method of recording and communicating work. An ability to use, enter, accurately and check Departmental database information.</w:t>
            </w:r>
          </w:p>
        </w:tc>
        <w:tc>
          <w:tcPr>
            <w:tcW w:w="2693" w:type="dxa"/>
          </w:tcPr>
          <w:p w14:paraId="1F55C315" w14:textId="2CF41F7F" w:rsidR="00E33888" w:rsidRDefault="00E33888" w:rsidP="00E33888">
            <w:pPr>
              <w:pStyle w:val="BodytextIslington"/>
              <w:jc w:val="center"/>
              <w:rPr>
                <w:rFonts w:eastAsia="Tahoma" w:cs="Tahoma"/>
              </w:rPr>
            </w:pPr>
            <w:r>
              <w:rPr>
                <w:rFonts w:eastAsia="Tahoma" w:cs="Tahoma"/>
              </w:rPr>
              <w:t>Essential</w:t>
            </w:r>
          </w:p>
        </w:tc>
      </w:tr>
      <w:tr w:rsidR="00E33888" w14:paraId="3F050667" w14:textId="77777777" w:rsidTr="55F9FC32">
        <w:trPr>
          <w:cantSplit/>
          <w:trHeight w:val="313"/>
        </w:trPr>
        <w:tc>
          <w:tcPr>
            <w:tcW w:w="846" w:type="dxa"/>
          </w:tcPr>
          <w:p w14:paraId="48152847" w14:textId="649C0FA8" w:rsidR="00E33888" w:rsidRDefault="00E33888" w:rsidP="00E33888">
            <w:pPr>
              <w:pStyle w:val="BodytextIslington"/>
            </w:pPr>
            <w:r>
              <w:t>14</w:t>
            </w:r>
          </w:p>
        </w:tc>
        <w:tc>
          <w:tcPr>
            <w:tcW w:w="6667" w:type="dxa"/>
          </w:tcPr>
          <w:p w14:paraId="6EB6F452" w14:textId="645BBC8C" w:rsidR="00E33888" w:rsidRPr="00E33888" w:rsidRDefault="00E33888" w:rsidP="00E33888">
            <w:pPr>
              <w:pStyle w:val="BodytextIslington"/>
              <w:rPr>
                <w:rFonts w:cs="Tahoma"/>
                <w:color w:val="000000" w:themeColor="text1"/>
              </w:rPr>
            </w:pPr>
            <w:r w:rsidRPr="00E33888">
              <w:rPr>
                <w:rFonts w:cs="Tahoma"/>
                <w:color w:val="000000" w:themeColor="text1"/>
              </w:rPr>
              <w:t xml:space="preserve">This post requires an enhanced level of Disclosure &amp; Barring Services (DBS) </w:t>
            </w:r>
          </w:p>
        </w:tc>
        <w:tc>
          <w:tcPr>
            <w:tcW w:w="2693" w:type="dxa"/>
          </w:tcPr>
          <w:p w14:paraId="7BC7E765" w14:textId="003F585B" w:rsidR="00E33888" w:rsidRDefault="00E33888" w:rsidP="00E33888">
            <w:pPr>
              <w:pStyle w:val="BodytextIslington"/>
              <w:jc w:val="center"/>
              <w:rPr>
                <w:rFonts w:eastAsia="Tahoma" w:cs="Tahoma"/>
              </w:rPr>
            </w:pPr>
            <w:r>
              <w:rPr>
                <w:rFonts w:eastAsia="Tahoma" w:cs="Tahoma"/>
              </w:rPr>
              <w:t>Essential</w:t>
            </w:r>
          </w:p>
        </w:tc>
      </w:tr>
    </w:tbl>
    <w:p w14:paraId="05D316CA" w14:textId="77777777" w:rsidR="00E33888" w:rsidRDefault="00E33888" w:rsidP="00052EED">
      <w:pPr>
        <w:pStyle w:val="Heading2"/>
        <w:rPr>
          <w:rFonts w:asciiTheme="majorHAnsi" w:hAnsiTheme="majorHAnsi" w:cstheme="majorHAnsi"/>
          <w:b/>
          <w:bCs w:val="0"/>
          <w:sz w:val="24"/>
        </w:rPr>
      </w:pPr>
    </w:p>
    <w:p w14:paraId="01A46535" w14:textId="52118974"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26AE6342" w14:textId="0E1DE93A" w:rsidR="00A461B5" w:rsidRDefault="007E3174" w:rsidP="00A461B5">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C9C1" w14:textId="77777777" w:rsidR="006C5E98" w:rsidRDefault="006C5E98" w:rsidP="00687CE3">
      <w:r>
        <w:separator/>
      </w:r>
    </w:p>
  </w:endnote>
  <w:endnote w:type="continuationSeparator" w:id="0">
    <w:p w14:paraId="0AEF1D68" w14:textId="77777777" w:rsidR="006C5E98" w:rsidRDefault="006C5E98" w:rsidP="00687CE3">
      <w:r>
        <w:continuationSeparator/>
      </w:r>
    </w:p>
  </w:endnote>
  <w:endnote w:type="continuationNotice" w:id="1">
    <w:p w14:paraId="675D0B07" w14:textId="77777777" w:rsidR="006C5E98" w:rsidRDefault="006C5E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DD5F" w14:textId="77777777" w:rsidR="006C5E98" w:rsidRDefault="006C5E98" w:rsidP="00687CE3">
      <w:r>
        <w:separator/>
      </w:r>
    </w:p>
  </w:footnote>
  <w:footnote w:type="continuationSeparator" w:id="0">
    <w:p w14:paraId="50FF51D4" w14:textId="77777777" w:rsidR="006C5E98" w:rsidRDefault="006C5E98" w:rsidP="00687CE3">
      <w:r>
        <w:continuationSeparator/>
      </w:r>
    </w:p>
  </w:footnote>
  <w:footnote w:type="continuationNotice" w:id="1">
    <w:p w14:paraId="1FD5A556" w14:textId="77777777" w:rsidR="006C5E98" w:rsidRDefault="006C5E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FB2761"/>
    <w:multiLevelType w:val="multilevel"/>
    <w:tmpl w:val="D3E46A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6"/>
  </w:num>
  <w:num w:numId="2" w16cid:durableId="1231111515">
    <w:abstractNumId w:val="12"/>
  </w:num>
  <w:num w:numId="3" w16cid:durableId="504319406">
    <w:abstractNumId w:val="10"/>
  </w:num>
  <w:num w:numId="4" w16cid:durableId="529805229">
    <w:abstractNumId w:val="13"/>
  </w:num>
  <w:num w:numId="5" w16cid:durableId="691807524">
    <w:abstractNumId w:val="15"/>
  </w:num>
  <w:num w:numId="6" w16cid:durableId="1139028826">
    <w:abstractNumId w:val="18"/>
  </w:num>
  <w:num w:numId="7" w16cid:durableId="101920931">
    <w:abstractNumId w:val="19"/>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7"/>
  </w:num>
  <w:num w:numId="20" w16cid:durableId="2072576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4F15"/>
    <w:rsid w:val="002A6451"/>
    <w:rsid w:val="002B0FD2"/>
    <w:rsid w:val="002B73EC"/>
    <w:rsid w:val="002C0511"/>
    <w:rsid w:val="002C5D15"/>
    <w:rsid w:val="002C5E29"/>
    <w:rsid w:val="002E295B"/>
    <w:rsid w:val="002E3A28"/>
    <w:rsid w:val="002E69D2"/>
    <w:rsid w:val="002E6C44"/>
    <w:rsid w:val="002F2E74"/>
    <w:rsid w:val="003021C5"/>
    <w:rsid w:val="003036D8"/>
    <w:rsid w:val="003050F5"/>
    <w:rsid w:val="003200E5"/>
    <w:rsid w:val="0032345C"/>
    <w:rsid w:val="00350B0C"/>
    <w:rsid w:val="00351692"/>
    <w:rsid w:val="0035733F"/>
    <w:rsid w:val="00360032"/>
    <w:rsid w:val="0036399E"/>
    <w:rsid w:val="00365AED"/>
    <w:rsid w:val="003700B0"/>
    <w:rsid w:val="00371CD0"/>
    <w:rsid w:val="00373635"/>
    <w:rsid w:val="003813A1"/>
    <w:rsid w:val="003831AD"/>
    <w:rsid w:val="00393BF7"/>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4FB7"/>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5DE7"/>
    <w:rsid w:val="00566BA4"/>
    <w:rsid w:val="00587991"/>
    <w:rsid w:val="00587D28"/>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07BD0"/>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808AE"/>
    <w:rsid w:val="00687CE3"/>
    <w:rsid w:val="006903DF"/>
    <w:rsid w:val="0069329B"/>
    <w:rsid w:val="00693A52"/>
    <w:rsid w:val="006A0461"/>
    <w:rsid w:val="006B1ED0"/>
    <w:rsid w:val="006B6CFE"/>
    <w:rsid w:val="006B6E28"/>
    <w:rsid w:val="006C5E9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07EC"/>
    <w:rsid w:val="007E1F47"/>
    <w:rsid w:val="007E3174"/>
    <w:rsid w:val="007E5DA9"/>
    <w:rsid w:val="007F660A"/>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E072A"/>
    <w:rsid w:val="008E50CC"/>
    <w:rsid w:val="008F5E43"/>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3888"/>
    <w:rsid w:val="00E35A99"/>
    <w:rsid w:val="00E3624C"/>
    <w:rsid w:val="00E51E79"/>
    <w:rsid w:val="00E52824"/>
    <w:rsid w:val="00E55DFE"/>
    <w:rsid w:val="00E573D2"/>
    <w:rsid w:val="00E717A8"/>
    <w:rsid w:val="00E72836"/>
    <w:rsid w:val="00E93C26"/>
    <w:rsid w:val="00E96527"/>
    <w:rsid w:val="00E973FA"/>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3339">
      <w:bodyDiv w:val="1"/>
      <w:marLeft w:val="0"/>
      <w:marRight w:val="0"/>
      <w:marTop w:val="0"/>
      <w:marBottom w:val="0"/>
      <w:divBdr>
        <w:top w:val="none" w:sz="0" w:space="0" w:color="auto"/>
        <w:left w:val="none" w:sz="0" w:space="0" w:color="auto"/>
        <w:bottom w:val="none" w:sz="0" w:space="0" w:color="auto"/>
        <w:right w:val="none" w:sz="0" w:space="0" w:color="auto"/>
      </w:divBdr>
    </w:div>
    <w:div w:id="129595522">
      <w:bodyDiv w:val="1"/>
      <w:marLeft w:val="0"/>
      <w:marRight w:val="0"/>
      <w:marTop w:val="0"/>
      <w:marBottom w:val="0"/>
      <w:divBdr>
        <w:top w:val="none" w:sz="0" w:space="0" w:color="auto"/>
        <w:left w:val="none" w:sz="0" w:space="0" w:color="auto"/>
        <w:bottom w:val="none" w:sz="0" w:space="0" w:color="auto"/>
        <w:right w:val="none" w:sz="0" w:space="0" w:color="auto"/>
      </w:divBdr>
    </w:div>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50390523">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463765333">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2803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1146</Words>
  <Characters>6366</Characters>
  <Application>Microsoft Office Word</Application>
  <DocSecurity>4</DocSecurity>
  <Lines>155</Lines>
  <Paragraphs>93</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7419</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2025-10-20T10:28:00Z</dcterms:created>
  <dcterms:modified xsi:type="dcterms:W3CDTF">2025-10-20T10:28:00Z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