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Post title: </w:t>
      </w:r>
      <w:r>
        <w:rPr>
          <w:rFonts w:ascii="Arial" w:hAnsi="Arial" w:eastAsia="Arial" w:cs="Arial"/>
          <w:lang w:val="en-GB" w:eastAsia="en-GB" w:bidi="en-GB"/>
        </w:rPr>
        <w:t xml:space="preserve">Qualified </w:t>
      </w:r>
      <w:r>
        <w:rPr>
          <w:rFonts w:ascii="Arial" w:hAnsi="Arial" w:eastAsia="Arial" w:cs="Arial"/>
          <w:spacing w:val="-2"/>
          <w:lang w:val="en-GB" w:eastAsia="en-GB" w:bidi="en-GB"/>
        </w:rPr>
        <w:t xml:space="preserve">Early Years </w:t>
      </w:r>
      <w:r>
        <w:rPr>
          <w:rFonts w:ascii="Arial" w:hAnsi="Arial" w:eastAsia="Arial" w:cs="Arial"/>
          <w:lang w:val="en-GB" w:eastAsia="en-GB" w:bidi="en-GB"/>
        </w:rPr>
        <w:t xml:space="preserve">Nursery Education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Service area: Fairer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Scale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Reports to: Executive Head of Nursery/Head of Nursery/Early Years teacher 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team: Conewood Children’s Centre Nursery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N/A</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We're determined to make Islington fairer. To create a place where everyone, whatever their background, has the opportunity to reach their potential and enjoy a good quality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also have an ambitious goal – to be the best council in the country</w:t>
      </w:r>
      <w:r>
        <w:rPr>
          <w:b/>
          <w:bCs/>
          <w:lang w:val="en-GB" w:eastAsia="en-GB" w:bidi="en-GB"/>
        </w:rPr>
        <w:t xml:space="preserve"> </w:t>
      </w:r>
      <w:r>
        <w:rPr>
          <w:lang w:val="en-GB" w:eastAsia="en-GB" w:bidi="en-GB"/>
        </w:rPr>
        <w:t xml:space="preserve">– with every employee clear about the part they play and inspired, focused and supported to give their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‘Be Islington’ is about setting a clear challenge about what it means to be an Islington employee and sets the standard for every new recruit.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ask our employees to ‘Be Islington’ – playing their part in working together for a fairer borough and to always be collaborative, be ambitious, be resourceful, and be empowering (‘CARE’).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commitment to challenging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are committed to tackling inequality, racism and injustice and creating a fairer borough for all. In order to do this, we need to set the example by being a fair employer and creating a workplace environment, which is free from discrimination, racism and inequality. Our approach needs to be proactive, consistently learning to create a fairer workplace and foster a culture, which empowers all staff to challenge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Fairness is at the heart of what we do. We want to celebrate and embrace our differences by: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Ensuring our workforce is representative of the people we work on behalf of, our residents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Creating equitable working environments and diverse teams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Understanding our residents in order to design and deliver services that help tackle inequality and improve life chances for our residents </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Getting to know people and their differences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Supporting people with long-term health conditions and/or disabilities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Recognising the value of flexible working to support staff where possible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 the overall direction and management of the Executive head, Head of nursery and Early Years Teacher, implement high quality early years practice and provision to support all children to reach their full potential, particularly in the prime areas of learning and development across all centre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To take joint responsibility for promoting and safeguarding the welfare of children in your care and those you come into contact with.</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To undertake child protection training at a level commensurate with role.</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Through hands-on practice under the direction of the lead practitioner and senior workers, contribute to the development and maintenance of developmentally appropriate, child-centred, play-based provision for young children which provides the nurturing environment needed to promote children’s emotional stability, independence, autonomy and creativity. </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Contribute and assist in fostering positive relationships and close working links with the range of professionals in the children’s centre in order to promote access to wider integrated services for all families and children and support a multi-disciplinary team around the child and family approach. This may include completing and using common assessment frameworks (CAF) and participating in Team around the Child (TAC) meetings where appropriate, with the support of senior practitioners.  </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Develop and maintain a partnership with parents that values their contributions and involves them in their child’s education, including support for the home learning environment</w:t>
      </w:r>
      <w:r>
        <w:rPr>
          <w:lang w:val="en-GB" w:eastAsia="en-GB" w:bidi="en-GB"/>
        </w:rPr>
        <w:t xml:space="preserve"> </w:t>
      </w:r>
      <w:r>
        <w:rPr>
          <w:rFonts w:ascii="Arial" w:hAnsi="Arial" w:eastAsia="Arial" w:cs="Arial"/>
          <w:lang w:val="en-GB" w:eastAsia="en-GB" w:bidi="en-GB"/>
        </w:rPr>
        <w:t xml:space="preserve">and for ensuring smooth transitions and continuity for the child and parents into, within and out of the setting.</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Act as a key person for a small group of children providing each child with continuity of care throughout the child’s time at the setting, in partnership with their parent/carers:</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shd w:val="clear" w:color="auto" w:fill="FFFF00"/>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Develop a loving and secure relationship with each key child.</w:t>
      </w:r>
    </w:p>
    <w:p>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Help each key child to become familiar with and confident in the setting.</w:t>
      </w:r>
    </w:p>
    <w:p>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Look after each key child’s care and welfare needs e.g. dressing, toilet training, eating, sleeping, being comforted.</w:t>
      </w:r>
    </w:p>
    <w:p>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Build trusted relationships with each key child’s parents, ensuring there are regular opportunities to share information on the child’s development at home and in the setting.</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Support each key child’s individual learning journey through on-going observation, assessment and planning in partnership with parents/carers and other colleagues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Complete reviews of the key child  in partnership with multi-agency colleagues and parents/carers as appropriate (eg at aged two; leaver’s record).</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shd w:val="clear" w:color="auto" w:fill="FFFF00"/>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Develop and maintain appropriate positive behaviour strategies with children.</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Attend and participate in relevant CPD, share the knowledge and ideas gained with colleagues in the setting.</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Uphold the principles of good practice in inclusion and equal opportunities in all aspects of the role, supporting early identification and intervention strategies at all times.</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Contribute to the development of relevant policies and procedures.</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Draw on the expertise of colleagues within the setting, and outside agencies to meet the needs of individual children</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Keep up to date with best early years practice, local and national policy, </w:t>
      </w:r>
    </w:p>
    <w:p>
      <w:pPr>
        <w:pStyle w:val="Norm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Undertake other minor and/or non-recurring duties appropriate to this post as directed by the Senior leadership team (SLT) including working flexibly (eg. weekends and evenings).</w:t>
      </w:r>
    </w:p>
    <w:p>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p>
    <w:p>
      <w:pPr>
        <w:pStyle w:val="Normal"/>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eastAsia="Arial" w:cs="Arial"/>
          <w:lang w:val="en-GB" w:eastAsia="en-GB" w:bidi="en-GB"/>
        </w:rPr>
      </w:pPr>
      <w:r>
        <w:rPr>
          <w:rFonts w:ascii="Arial" w:hAnsi="Arial" w:eastAsia="Arial" w:cs="Arial"/>
          <w:lang w:val="en-GB" w:eastAsia="en-GB" w:bidi="en-GB"/>
        </w:rPr>
        <w:t xml:space="preserve">To undertake other duties commensurate to the grade of the post.</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Two weeks of the annual leave entitlement to be taken during the Centre closure period in summer (specific dates to be confirmed depending on Centre).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Additional Responsibilities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502"/>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To use and assist others in the use of information technology systems to carry out duties in the most efficient and effective manner.</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numPr>
          <w:ilvl w:val="0"/>
          <w:numId w:val="5"/>
        </w:numPr>
        <w:tabs>
          <w:tab w:val="left" w:pos="502"/>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 w:hanging="360"/>
        <w:rPr>
          <w:rFonts w:ascii="Arial" w:hAnsi="Arial" w:eastAsia="Arial" w:cs="Arial"/>
          <w:color w:val="000000"/>
          <w:lang w:val="en-GB" w:eastAsia="en-GB" w:bidi="en-GB"/>
        </w:rPr>
      </w:pPr>
      <w:r>
        <w:rPr>
          <w:rFonts w:ascii="Arial" w:hAnsi="Arial" w:eastAsia="Arial" w:cs="Arial"/>
          <w:lang w:val="en-GB" w:eastAsia="en-GB" w:bidi="en-GB"/>
        </w:rPr>
        <w:t xml:space="preserve">To achieve agreed service outcomes and outputs, and personal appraisal targets, as agreed by the line manager.</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 w:hanging="360"/>
        <w:rPr>
          <w:rFonts w:ascii="Arial" w:hAnsi="Arial" w:eastAsia="Arial" w:cs="Arial"/>
          <w:color w:val="000000"/>
          <w:lang w:val="en-GB" w:eastAsia="en-GB" w:bidi="en-GB"/>
        </w:rPr>
      </w:pPr>
      <w:r>
        <w:rPr>
          <w:rFonts w:ascii="Arial" w:hAnsi="Arial" w:eastAsia="Arial" w:cs="Arial"/>
          <w:lang w:val="en-GB" w:eastAsia="en-GB" w:bidi="en-GB"/>
        </w:rPr>
        <w:t xml:space="preserve">To undertake training and constructively take part in meetings, supervision, seminars and other events designed to improve communication and assist with the effective development of the post and post holder.</w:t>
      </w:r>
    </w:p>
    <w:p>
      <w:pPr>
        <w:pStyle w:val="Normal"/>
        <w:tabs>
          <w:tab w:val="left" w:pos="36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GB" w:eastAsia="en-GB" w:bidi="en-GB"/>
        </w:rPr>
      </w:pPr>
    </w:p>
    <w:p>
      <w:pPr>
        <w:pStyle w:val="Normal"/>
        <w:numPr>
          <w:ilvl w:val="0"/>
          <w:numId w:val="5"/>
        </w:numPr>
        <w:tabs>
          <w:tab w:val="left" w:pos="502"/>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2" w:hanging="360"/>
        <w:rPr>
          <w:rFonts w:ascii="Arial" w:hAnsi="Arial" w:eastAsia="Arial" w:cs="Arial"/>
          <w:color w:val="000000"/>
          <w:lang w:val="en-GB" w:eastAsia="en-GB" w:bidi="en-GB"/>
        </w:rPr>
      </w:pPr>
      <w:r>
        <w:rPr>
          <w:rFonts w:ascii="Arial" w:hAnsi="Arial" w:eastAsia="Arial" w:cs="Arial"/>
          <w:lang w:val="en-GB" w:eastAsia="en-GB" w:bidi="en-GB"/>
        </w:rPr>
        <w:t xml:space="preserve">The post holder is expected to be committed to the Council’s core values of public service, quality, equality and empowerment and to demonstrate this commitment in the way they carry out their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Arial" w:hAnsi="Arial" w:eastAsia="Arial" w:cs="Arial"/>
          <w:lang w:val="en-GB" w:eastAsia="en-GB" w:bidi="en-GB"/>
        </w:rPr>
      </w:pPr>
      <w:r>
        <w:rPr>
          <w:rFonts w:ascii="Arial" w:hAnsi="Arial" w:eastAsia="Arial" w:cs="Arial"/>
          <w:lang w:val="en-GB" w:eastAsia="en-GB" w:bidi="en-GB"/>
        </w:rPr>
        <w:t xml:space="preserve">Ensure all the services within the area(s) of responsibility are provided in accordance with the Council's commitment to high quality service provision to 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Arial" w:hAnsi="Arial" w:eastAsia="Arial" w:cs="Arial"/>
          <w:lang w:val="en-GB" w:eastAsia="en-GB" w:bidi="en-GB"/>
        </w:rPr>
      </w:pPr>
      <w:r>
        <w:rPr>
          <w:rFonts w:ascii="Arial" w:hAnsi="Arial" w:eastAsia="Arial" w:cs="Arial"/>
          <w:lang w:val="en-GB" w:eastAsia="en-GB" w:bidi="en-GB"/>
        </w:rPr>
        <w:t xml:space="preserve">Ensure that duties are undertaken with due regard and compliance with the Data Protection Act and other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Arial" w:hAnsi="Arial" w:eastAsia="Arial" w:cs="Arial"/>
          <w:lang w:val="en-GB" w:eastAsia="en-GB" w:bidi="en-GB"/>
        </w:rPr>
      </w:pPr>
      <w:r>
        <w:rPr>
          <w:rFonts w:ascii="Arial" w:hAnsi="Arial" w:eastAsia="Arial" w:cs="Arial"/>
          <w:lang w:val="en-GB" w:eastAsia="en-GB" w:bidi="en-GB"/>
        </w:rPr>
        <w:t xml:space="preserve">Carry out duties and responsibilities in accordance with the Council’s Health and Safety Policy and relevant Health and Safety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Arial" w:hAnsi="Arial" w:eastAsia="Arial" w:cs="Arial"/>
          <w:lang w:val="en-GB" w:eastAsia="en-GB" w:bidi="en-GB"/>
        </w:rPr>
      </w:pPr>
      <w:r>
        <w:rPr>
          <w:rFonts w:ascii="Arial" w:hAnsi="Arial" w:eastAsia="Arial" w:cs="Arial"/>
          <w:lang w:val="en-GB" w:eastAsia="en-GB" w:bidi="en-GB"/>
        </w:rPr>
        <w:t xml:space="preserve">At all times carrying out responsibilities/duties within the framework of the Council's Dignity for all Policy. (Equal Opportunities Policy).</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Frontline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sz w:val="48"/>
          <w:szCs w:val="48"/>
          <w:lang w:val="en-GB" w:eastAsia="en-GB" w:bidi="en-GB"/>
        </w:rPr>
      </w:pPr>
      <w:r>
        <w:rPr>
          <w:lang w:val="en-GB" w:eastAsia="en-GB" w:bidi="en-GB"/>
        </w:rPr>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You should demonstrate on your application form how you meet the essential criteria.  Please ensure that you address each of the criteria as this will be assessed to determine your suitability for the post.</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8" w:after="144"/>
        <w:rPr>
          <w:lang w:val="en-GB" w:eastAsia="en-GB" w:bidi="en-GB"/>
        </w:rPr>
      </w:pPr>
      <w:r>
        <w:rPr>
          <w:lang w:val="en-GB" w:eastAsia="en-GB" w:bidi="en-GB"/>
        </w:rPr>
        <w:t xml:space="preserve">Qualifications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Minimum Level 3 qualification in childcare/early years practice with suitable practice placements (e.g. NNEB Certificate, NVQ Level 3 - Childcare/Early Years Care, BTEC Nationals in Childhood Studies  or equivalent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For Scale 4 - Level 3 qualification with substantial experience in an early years setting, including experience as a key person.</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Educated to English (GCSE A-C) or equivalent or able to pass the Council’s literacy tests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Application/Test</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safeguard and promote the welfare of children, and provide a safe learning environment and recognise when a child is in danger or at risk of abuse.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and understanding of the early years framework and the importance of play in young children’s development and learning</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E6</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create a stimulating learning environment</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E7</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promote all aspects of children’s learning and development, prime and specific areas of learning, through a range of effective</w:t>
            </w:r>
            <w:r>
              <w:rPr>
                <w:b/>
                <w:bCs/>
                <w:lang w:val="en-GB" w:eastAsia="en-GB" w:bidi="en-GB"/>
              </w:rPr>
              <w:t xml:space="preserve"> </w:t>
            </w:r>
            <w:r>
              <w:rPr>
                <w:lang w:val="en-GB" w:eastAsia="en-GB" w:bidi="en-GB"/>
              </w:rPr>
              <w:t xml:space="preserve">strategies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 </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and an understanding of the importance of the child’s well-being and ability to meet the physical and emotional needs of young children,</w:t>
            </w:r>
            <w:r>
              <w:rPr>
                <w:b/>
                <w:bCs/>
                <w:lang w:val="en-GB" w:eastAsia="en-GB" w:bidi="en-GB"/>
              </w:rPr>
              <w:t xml:space="preserve"> </w:t>
            </w:r>
            <w:r>
              <w:rPr>
                <w:lang w:val="en-GB" w:eastAsia="en-GB" w:bidi="en-GB"/>
              </w:rPr>
              <w:t xml:space="preserve">including those with</w:t>
            </w:r>
            <w:r>
              <w:rPr>
                <w:b/>
                <w:bCs/>
                <w:lang w:val="en-GB" w:eastAsia="en-GB" w:bidi="en-GB"/>
              </w:rPr>
              <w:t xml:space="preserve"> </w:t>
            </w:r>
            <w:r>
              <w:rPr>
                <w:lang w:val="en-GB" w:eastAsia="en-GB" w:bidi="en-GB"/>
              </w:rPr>
              <w:t xml:space="preserve">additional social, emotional or special education needs.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E9</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how to share information appropriately</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E10</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how a range of factors can inhibit children’s learning and development and how these can be overcome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effectively contribute to and work with the observation, assessment, tracking and planning systems in place.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how to keep children safe and the requirements of safety in the workplace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Demonstrate the ability to relate easily and communicate effectively with children aged birth to 5, listening and responding sensitively.</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rFonts w:ascii="Arial" w:hAnsi="Arial" w:eastAsia="Arial" w:cs="Arial"/>
                <w:lang w:val="en-GB" w:eastAsia="en-GB" w:bidi="en-GB"/>
              </w:rPr>
              <w:t xml:space="preserve">Demonstrate the ability to develop effective relationships with parent/carers and support them in promoting their child’s learning and development at home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rFonts w:ascii="Arial" w:hAnsi="Arial" w:eastAsia="Arial" w:cs="Arial"/>
                <w:lang w:val="en-GB" w:eastAsia="en-GB" w:bidi="en-GB"/>
              </w:rPr>
              <w:t xml:space="preserve">Demonstrate the ability to communicate effectively with staff and to work as part of a team</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E16</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lang w:val="en-GB" w:eastAsia="en-GB" w:bidi="en-GB"/>
              </w:rPr>
              <w:t xml:space="preserve">Knowledge of and ability to contribute to multi-agency working</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E17</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Commitment to developing and maintaining the ethos of the setting as a partnership of children, professionals, parents/carers and the community.</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Good level of written and verbal communication and interpersonal skills.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E19</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have relevant IT skills, be willing to develop these skills as necessary and be familiar with relevant software.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textWrapping"/>
      </w:r>
      <w:r>
        <w:rPr>
          <w:lang w:val="en-GB" w:eastAsia="en-GB" w:bidi="en-GB"/>
        </w:rPr>
        <w:t xml:space="preserve">Special requirements of the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E19</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will require you to obtain an Enhanced/Standard satisfactory clearance from the Disclosure and Barring Service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6519545" cy="704215"/>
            <wp:docPr id="4" name="_x0000_i1025"/>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6519545" cy="70421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10"/>
      <w:headerReference w:type="first" r:id="rId00011"/>
      <w:footerReference w:type="first" r:id="rId00012"/>
      <w:pgSz w:w="11900" w:h="16840"/>
      <w:pgMar w:top="1644" w:right="851" w:bottom="1219" w:left="851" w:header="646" w:footer="794"/>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page">
            <wp:posOffset>-52070</wp:posOffset>
          </wp:positionH>
          <wp:positionV relativeFrom="page">
            <wp:posOffset>10058400</wp:posOffset>
          </wp:positionV>
          <wp:extent cx="7597140" cy="654050"/>
          <wp:wrapNone/>
          <wp:docPr id="3" name="Picture 19"/>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7597140" cy="65405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0"/>
      <w:rPr>
        <w:sz w:val="64"/>
        <w:szCs w:val="64"/>
        <w:lang w:val="en-GB" w:eastAsia="en-GB" w:bidi="en-GB"/>
      </w:rPr>
    </w:pPr>
    <w:r>
      <w:drawing>
        <wp:anchor distT="0" distB="0" distL="114300" distR="114300" simplePos="0" relativeHeight="251659264" behindDoc="0" locked="0" layoutInCell="1" hidden="0" allowOverlap="1">
          <wp:simplePos x="0" y="0"/>
          <wp:positionH relativeFrom="page">
            <wp:posOffset>4890770</wp:posOffset>
          </wp:positionH>
          <wp:positionV relativeFrom="page">
            <wp:posOffset>457200</wp:posOffset>
          </wp:positionV>
          <wp:extent cx="2183130" cy="362585"/>
          <wp:wrapNone/>
          <wp:docPr id="2" name="Picture 1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83130" cy="362585"/>
                  </a:xfrm>
                  <a:prstGeom prst="rect">
                    <a:avLst/>
                  </a:prstGeom>
                </pic:spPr>
              </pic:pic>
            </a:graphicData>
          </a:graphic>
        </wp:anchor>
      </w:drawing>
    </w:r>
    <w:r>
      <w:rPr>
        <w:sz w:val="64"/>
        <w:szCs w:val="64"/>
        <w:lang w:val="en-GB" w:eastAsia="en-GB" w:bidi="en-GB"/>
      </w:rPr>
      <w:drawing>
        <wp:inline distT="0" distB="0" distL="0" distR="0">
          <wp:extent cx="1809115" cy="68770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09115" cy="68770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decimal"/>
      <w:suff w:val="tab"/>
      <w:lvlText w:val="%1."/>
      <w:pPr>
        <w:ind w:left="540" w:hanging="540"/>
        <w:tabs>
          <w:tab w:val="num" w:pos="540"/>
        </w:tabs>
      </w:pPr>
      <w:rPr>
        <w:rFonts w:hint="default" w:ascii="Arial" w:hAnsi="Arial" w:eastAsia="Arial" w:cs="Aria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502" w:hanging="360"/>
        <w:tabs>
          <w:tab w:val="num" w:pos="502"/>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502" w:hanging="360"/>
        <w:tabs>
          <w:tab w:val="num" w:pos="502"/>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1"/>
    <w:lvlOverride w:ilvl="0">
      <w:lvl w:ilvl="0">
        <w:start w:val="1"/>
        <w:numFmt w:val="decimal"/>
        <w:suff w:val="tab"/>
        <w:lvlText w:val="%1."/>
        <w:pPr>
          <w:ind w:left="360" w:hanging="360"/>
          <w:tabs>
            <w:tab w:val="num" w:pos="360"/>
          </w:tabs>
        </w:pPr>
        <w:rPr>
          <w:rFonts w:hint="default" w:ascii="Arial" w:hAnsi="Arial" w:eastAsia="Arial" w:cs="Arial"/>
          <w:b w:val="off"/>
          <w:i w:val="off"/>
          <w:strike w:val="off"/>
          <w:color w:val="auto"/>
          <w:position w:val="0"/>
          <w:sz w:val="24"/>
          <w:u w:val="none"/>
          <w:shd w:val="clear" w:color="auto" w:fill="auto"/>
        </w:rPr>
      </w:lvl>
    </w:lvlOverride>
  </w:num>
  <w:num w:numId="4">
    <w:abstractNumId w:val="2"/>
  </w:num>
  <w:num w:numId="5">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ahoma" w:hAnsi="Tahoma" w:eastAsia="Tahoma" w:cs="Tahoma"/>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240"/>
      <w:outlineLvl w:val="0"/>
    </w:pPr>
    <w:rPr>
      <w:color w:val="007833"/>
      <w:sz w:val="64"/>
      <w:szCs w:val="64"/>
      <w:lang w:val="en-GB" w:eastAsia="en-GB" w:bidi="en-GB"/>
    </w:rPr>
  </w:style>
  <w:style w:type="paragraph" w:styleId="Heading2">
    <w:name w:val="heading 2"/>
    <w:basedOn w:val="Heading1"/>
    <w:next w:val="Normal"/>
    <w:qFormat/>
    <w:pPr>
      <w:outlineLvl w:val="1"/>
    </w:pPr>
    <w:rPr>
      <w:sz w:val="48"/>
      <w:szCs w:val="48"/>
      <w:lang w:val="en-GB" w:eastAsia="en-GB" w:bidi="en-GB"/>
    </w:rPr>
  </w:style>
  <w:style w:type="paragraph" w:styleId="Heading3">
    <w:name w:val="heading 3"/>
    <w:basedOn w:val="Heading2"/>
    <w:next w:val="Normal"/>
    <w:qFormat/>
    <w:pPr>
      <w:outlineLvl w:val="2"/>
    </w:pPr>
    <w:rPr>
      <w:color w:val="4C4C4D"/>
      <w:sz w:val="40"/>
      <w:szCs w:val="40"/>
      <w:lang w:val="en-GB" w:eastAsia="en-GB" w:bidi="en-GB"/>
    </w:rPr>
  </w:style>
  <w:style w:type="paragraph" w:styleId="Heading4">
    <w:name w:val="heading 4"/>
    <w:basedOn w:val="Heading3"/>
    <w:next w:val="Normal"/>
    <w:qFormat/>
    <w:pPr>
      <w:outlineLvl w:val="3"/>
    </w:pPr>
    <w:rPr>
      <w:color w:val="000000"/>
      <w:sz w:val="32"/>
      <w:szCs w:val="32"/>
      <w:lang w:val="en-GB" w:eastAsia="en-GB" w:bidi="en-GB"/>
    </w:rPr>
  </w:style>
  <w:style w:type="paragraph" w:styleId="Title">
    <w:name w:val="Title"/>
    <w:basedOn w:val="Heading4"/>
    <w:next w:val="Normal"/>
    <w:qFormat/>
    <w:pPr/>
    <w:rPr>
      <w:sz w:val="56"/>
      <w:szCs w:val="56"/>
      <w:lang w:val="en-GB" w:eastAsia="en-GB" w:bidi="en-GB"/>
    </w:rPr>
  </w:style>
  <w:style w:type="paragraph" w:styleId="Heading5">
    <w:name w:val="heading 5"/>
    <w:basedOn w:val="Title"/>
    <w:next w:val="Normal"/>
    <w:qFormat/>
    <w:pPr>
      <w:outlineLvl w:val="4"/>
    </w:pPr>
    <w:rPr>
      <w:sz w:val="24"/>
      <w:szCs w:val="24"/>
      <w:lang w:val="en-GB" w:eastAsia="en-GB" w:bidi="en-GB"/>
    </w:rPr>
  </w:style>
  <w:style w:type="paragraph" w:styleId="Subtitle">
    <w:name w:val="Subtitle"/>
    <w:basedOn w:val="Heading5"/>
    <w:next w:val="Normal"/>
    <w:qFormat/>
    <w:pPr/>
    <w:rPr>
      <w:color w:val="4C4C4D"/>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PlainText">
    <w:name w:val="Plain Text"/>
    <w:basedOn w:val="Normal"/>
    <w:next w:val="PlainText"/>
    <w:qFormat/>
    <w:pPr/>
    <w:rPr>
      <w:rFonts w:ascii="Calibri" w:hAnsi="Calibri" w:eastAsia="Calibri" w:cs="Calibri"/>
      <w:sz w:val="22"/>
      <w:szCs w:val="22"/>
      <w:lang w:val="en-GB" w:eastAsia="en-GB" w:bidi="en-GB"/>
    </w:rPr>
  </w:style>
  <w:style w:type="character" w:styleId="Header Char">
    <w:name w:val="Header Char"/>
    <w:qFormat/>
    <w:rPr>
      <w:rFonts w:ascii="Tahoma" w:hAnsi="Tahoma" w:eastAsia="Tahoma" w:cs="Tahoma"/>
      <w:b w:val="off"/>
      <w:bCs w:val="off"/>
      <w:i w:val="off"/>
      <w:iCs w:val="off"/>
      <w:rtl w:val="off"/>
      <w:lang w:val="en-GB" w:eastAsia="en-GB" w:bidi="en-GB"/>
    </w:rPr>
  </w:style>
  <w:style w:type="character" w:styleId="Footer Char">
    <w:name w:val="Footer Char"/>
    <w:qFormat/>
    <w:rPr>
      <w:rFonts w:ascii="Tahoma" w:hAnsi="Tahoma" w:eastAsia="Tahoma" w:cs="Tahoma"/>
      <w:b w:val="off"/>
      <w:bCs w:val="off"/>
      <w:i w:val="off"/>
      <w:iCs w:val="off"/>
      <w:rtl w:val="off"/>
      <w:lang w:val="en-GB" w:eastAsia="en-GB" w:bidi="en-GB"/>
    </w:rPr>
  </w:style>
  <w:style w:type="paragraph" w:styleId="NormalWeb">
    <w:name w:val="Normal (Web)"/>
    <w:basedOn w:val="Normal"/>
    <w:next w:val="NormalWeb"/>
    <w:qFormat/>
    <w:pPr/>
    <w:rPr>
      <w:lang w:val="en-GB" w:eastAsia="en-GB" w:bidi="en-GB"/>
    </w:rPr>
  </w:style>
  <w:style w:type="character" w:styleId="Heading 1 Char">
    <w:name w:val="Heading 1 Char"/>
    <w:qFormat/>
    <w:rPr>
      <w:rFonts w:ascii="Tahoma" w:hAnsi="Tahoma" w:eastAsia="Tahoma" w:cs="Tahoma"/>
      <w:b w:val="off"/>
      <w:bCs w:val="off"/>
      <w:i w:val="off"/>
      <w:iCs w:val="off"/>
      <w:color w:val="007833"/>
      <w:sz w:val="64"/>
      <w:szCs w:val="64"/>
      <w:rtl w:val="off"/>
      <w:lang w:val="en-GB" w:eastAsia="en-GB" w:bidi="en-GB"/>
    </w:rPr>
  </w:style>
  <w:style w:type="character" w:styleId="Heading 2 Char">
    <w:name w:val="Heading 2 Char"/>
    <w:qFormat/>
    <w:rPr>
      <w:rFonts w:ascii="Tahoma" w:hAnsi="Tahoma" w:eastAsia="Tahoma" w:cs="Tahoma"/>
      <w:b w:val="off"/>
      <w:bCs w:val="off"/>
      <w:i w:val="off"/>
      <w:iCs w:val="off"/>
      <w:color w:val="007833"/>
      <w:sz w:val="48"/>
      <w:szCs w:val="48"/>
      <w:rtl w:val="off"/>
      <w:lang w:val="en-GB" w:eastAsia="en-GB" w:bidi="en-GB"/>
    </w:rPr>
  </w:style>
  <w:style w:type="character" w:styleId="Heading 3 Char">
    <w:name w:val="Heading 3 Char"/>
    <w:qFormat/>
    <w:rPr>
      <w:rFonts w:ascii="Tahoma" w:hAnsi="Tahoma" w:eastAsia="Tahoma" w:cs="Tahoma"/>
      <w:b w:val="off"/>
      <w:bCs w:val="off"/>
      <w:i w:val="off"/>
      <w:iCs w:val="off"/>
      <w:color w:val="4C4C4D"/>
      <w:sz w:val="40"/>
      <w:szCs w:val="40"/>
      <w:rtl w:val="off"/>
      <w:lang w:val="en-GB" w:eastAsia="en-GB" w:bidi="en-GB"/>
    </w:rPr>
  </w:style>
  <w:style w:type="character" w:styleId="Heading 4 Char">
    <w:name w:val="Heading 4 Char"/>
    <w:qFormat/>
    <w:rPr>
      <w:rFonts w:ascii="Tahoma" w:hAnsi="Tahoma" w:eastAsia="Tahoma" w:cs="Tahoma"/>
      <w:b w:val="off"/>
      <w:bCs w:val="off"/>
      <w:i w:val="off"/>
      <w:iCs w:val="off"/>
      <w:color w:val="000000"/>
      <w:sz w:val="32"/>
      <w:szCs w:val="32"/>
      <w:rtl w:val="off"/>
      <w:lang w:val="en-GB" w:eastAsia="en-GB" w:bidi="en-GB"/>
    </w:rPr>
  </w:style>
  <w:style w:type="character" w:styleId="Title Char">
    <w:name w:val="Title Char"/>
    <w:qFormat/>
    <w:rPr>
      <w:rFonts w:ascii="Tahoma" w:hAnsi="Tahoma" w:eastAsia="Tahoma" w:cs="Tahoma"/>
      <w:b w:val="off"/>
      <w:bCs w:val="off"/>
      <w:i w:val="off"/>
      <w:iCs w:val="off"/>
      <w:color w:val="000000"/>
      <w:sz w:val="56"/>
      <w:szCs w:val="56"/>
      <w:rtl w:val="off"/>
      <w:lang w:val="en-GB" w:eastAsia="en-GB" w:bidi="en-GB"/>
    </w:rPr>
  </w:style>
  <w:style w:type="character" w:styleId="Heading 5 Char">
    <w:name w:val="Heading 5 Char"/>
    <w:qFormat/>
    <w:rPr>
      <w:rFonts w:ascii="Tahoma" w:hAnsi="Tahoma" w:eastAsia="Tahoma" w:cs="Tahoma"/>
      <w:b w:val="off"/>
      <w:bCs w:val="off"/>
      <w:i w:val="off"/>
      <w:iCs w:val="off"/>
      <w:color w:val="000000"/>
      <w:rtl w:val="off"/>
      <w:lang w:val="en-GB" w:eastAsia="en-GB" w:bidi="en-GB"/>
    </w:rPr>
  </w:style>
  <w:style w:type="character" w:styleId="Subtitle Char">
    <w:name w:val="Subtitle Char"/>
    <w:qFormat/>
    <w:rPr>
      <w:rFonts w:ascii="Tahoma" w:hAnsi="Tahoma" w:eastAsia="Tahoma" w:cs="Tahoma"/>
      <w:b w:val="off"/>
      <w:bCs w:val="off"/>
      <w:i w:val="off"/>
      <w:iCs w:val="off"/>
      <w:color w:val="4C4C4D"/>
      <w:rtl w:val="off"/>
      <w:lang w:val="en-GB" w:eastAsia="en-GB" w:bidi="en-GB"/>
    </w:rPr>
  </w:style>
  <w:style w:type="character" w:styleId="Strong">
    <w:name w:val="Strong"/>
    <w:qFormat/>
    <w:rPr>
      <w:rFonts w:ascii="Tahoma" w:hAnsi="Tahoma" w:eastAsia="Tahoma" w:cs="Tahoma"/>
      <w:b/>
      <w:bCs/>
      <w:i w:val="off"/>
      <w:iCs w:val="off"/>
      <w:sz w:val="24"/>
      <w:szCs w:val="24"/>
      <w:rtl w:val="off"/>
    </w:rPr>
  </w:style>
  <w:style w:type="paragraph" w:styleId="Quote">
    <w:name w:val="Quote"/>
    <w:basedOn w:val="Normal"/>
    <w:next w:val="Normal"/>
    <w:qFormat/>
    <w:pPr>
      <w:spacing w:before="200" w:after="160"/>
      <w:ind w:left="864" w:right="864"/>
      <w:jc w:val="center"/>
    </w:pPr>
    <w:rPr>
      <w:i/>
      <w:iCs/>
      <w:color w:val="404040"/>
      <w:lang w:val="en-GB" w:eastAsia="en-GB" w:bidi="en-GB"/>
    </w:rPr>
  </w:style>
  <w:style w:type="character" w:styleId="Quote Char">
    <w:name w:val="Quote Char"/>
    <w:qFormat/>
    <w:rPr>
      <w:rFonts w:ascii="Tahoma" w:hAnsi="Tahoma" w:eastAsia="Tahoma" w:cs="Tahoma"/>
      <w:b w:val="off"/>
      <w:bCs w:val="off"/>
      <w:i/>
      <w:iCs/>
      <w:color w:val="404040"/>
      <w:rtl w:val="off"/>
      <w:lang w:val="en-GB" w:eastAsia="en-GB" w:bidi="en-GB"/>
    </w:rPr>
  </w:style>
  <w:style w:type="paragraph" w:styleId="IntenseQuote">
    <w:name w:val="Intense Quote"/>
    <w:basedOn w:val="Normal"/>
    <w:next w:val="Normal"/>
    <w:qFormat/>
    <w:pPr>
      <w:spacing w:before="360" w:after="360"/>
      <w:ind w:left="862" w:right="862"/>
    </w:pPr>
    <w:rPr>
      <w:b/>
      <w:bCs/>
      <w:i/>
      <w:iCs/>
      <w:color w:val="000000"/>
      <w:lang w:val="en-GB" w:eastAsia="en-GB" w:bidi="en-GB"/>
    </w:rPr>
  </w:style>
  <w:style w:type="character" w:styleId="Intense Quote Char">
    <w:name w:val="Intense Quote Char"/>
    <w:qFormat/>
    <w:rPr>
      <w:rFonts w:ascii="Tahoma" w:hAnsi="Tahoma" w:eastAsia="Tahoma" w:cs="Tahoma"/>
      <w:b/>
      <w:bCs/>
      <w:i/>
      <w:iCs/>
      <w:color w:val="000000"/>
      <w:rtl w:val="off"/>
      <w:lang w:val="en-GB" w:eastAsia="en-GB" w:bidi="en-GB"/>
    </w:rPr>
  </w:style>
  <w:style w:type="paragraph" w:styleId="BodyText2">
    <w:name w:val="Body Text 2"/>
    <w:basedOn w:val="Normal"/>
    <w:next w:val="BodyText2"/>
    <w:qFormat/>
    <w:pPr/>
    <w:rPr>
      <w:rFonts w:ascii="Times New Roman" w:hAnsi="Times New Roman" w:eastAsia="Times New Roman" w:cs="Times New Roman"/>
      <w:lang w:val="en-GB" w:eastAsia="en-GB" w:bidi="en-GB"/>
    </w:rPr>
  </w:style>
  <w:style w:type="character" w:styleId="Body Text 2 Char">
    <w:name w:val="Body Text 2 Char"/>
    <w:qFormat/>
    <w:rPr>
      <w:rFonts w:ascii="Times New Roman" w:hAnsi="Times New Roman" w:eastAsia="Times New Roman" w:cs="Times New Roman"/>
      <w:rtl w:val="off"/>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Tahoma" w:hAnsi="Tahoma" w:eastAsia="Tahoma" w:cs="Tahoma"/>
      <w:sz w:val="20"/>
      <w:szCs w:val="20"/>
      <w:rtl w:val="off"/>
      <w:lang w:val="en-GB" w:eastAsia="en-GB" w:bidi="en-GB"/>
    </w:rPr>
  </w:style>
  <w:style w:type="character" w:styleId="Comment Subject Char">
    <w:name w:val="Comment Subject Char"/>
    <w:basedOn w:val="Comment Text Char"/>
    <w:qFormat/>
    <w:rPr>
      <w:rFonts w:ascii="Tahoma" w:hAnsi="Tahoma" w:eastAsia="Tahoma" w:cs="Tahoma"/>
      <w:b/>
      <w:bCs/>
      <w:sz w:val="20"/>
      <w:szCs w:val="20"/>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character" w:styleId="Balloon Text Char">
    <w:name w:val="Balloon Text Char"/>
    <w:qFormat/>
    <w:rPr>
      <w:rFonts w:ascii="Segoe UI" w:hAnsi="Segoe UI" w:eastAsia="Segoe UI" w:cs="Segoe UI"/>
      <w:sz w:val="18"/>
      <w:szCs w:val="18"/>
      <w:rtl w:val="off"/>
      <w:lang w:val="en-GB" w:eastAsia="en-GB" w:bidi="en-GB"/>
    </w:rPr>
  </w:style>
  <w:style w:type="character" w:styleId="Plain Text Char">
    <w:name w:val="Plain Text Char"/>
    <w:qFormat/>
    <w:rPr>
      <w:rFonts w:ascii="Calibri" w:hAnsi="Calibri" w:eastAsia="Calibri" w:cs="Calibri"/>
      <w:sz w:val="22"/>
      <w:szCs w:val="22"/>
      <w:rtl w:val="off"/>
      <w:lang w:val="en-GB" w:eastAsia="en-GB" w:bidi="en-GB"/>
    </w:rPr>
  </w:style>
  <w:style w:type="paragraph" w:styleId="BodyTextIndent2">
    <w:name w:val="Body Text Indent 2"/>
    <w:basedOn w:val="Normal"/>
    <w:next w:val="BodyTextIndent2"/>
    <w:qFormat/>
    <w:pPr>
      <w:spacing w:after="120" w:line="480" w:lineRule="auto"/>
      <w:ind w:left="283"/>
    </w:pPr>
    <w:rPr>
      <w:lang w:val="en-GB" w:eastAsia="en-GB" w:bidi="en-GB"/>
    </w:rPr>
  </w:style>
  <w:style w:type="character" w:styleId="Body Text Indent 2 Char">
    <w:name w:val="Body Text Indent 2 Char"/>
    <w:qFormat/>
    <w:rPr>
      <w:rFonts w:ascii="Tahoma" w:hAnsi="Tahoma" w:eastAsia="Tahoma" w:cs="Tahoma"/>
      <w:rtl w:val="off"/>
      <w:lang w:val="en-GB" w:eastAsia="en-GB" w:bidi="en-GB"/>
    </w:rPr>
  </w:style>
  <w:style w:type="character" w:styleId="SubtleEmphasis">
    <w:name w:val="Subtle Emphasis"/>
    <w:qFormat/>
    <w:rPr>
      <w:i/>
      <w:iCs/>
      <w:color w:val="4C4C4D"/>
      <w:sz w:val="24"/>
      <w:szCs w:val="24"/>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header" Target="header0001_first.xml"/>
	<Relationship Id="rId00012" Type="http://schemas.openxmlformats.org/officeDocument/2006/relationships/footer" Target="footer0001_first.xml"/>
	<Relationship Id="rId00009" Type="http://schemas.openxmlformats.org/officeDocument/2006/relationships/image" Target="media/image0004.png"/>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_first.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creator>Islington Council</dc:creator>
  <dcterms:created xsi:type="dcterms:W3CDTF">2024-03-14T10:35:00Z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729;#Recruitment|c9267d7d-6437-4881-90a1-fe64a3030a55</vt:lpwstr>
  </property>
  <property fmtid="{D5CDD505-2E9C-101B-9397-08002B2CF9AE}" pid="3" name="Owning TeamTaxHTField0">
    <vt:lpwstr>HR Policy and Business Partners|1dcfcce7-095d-46bf-8d3b-7d1e13d14a05</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Recruitment|c9267d7d-6437-4881-90a1-fe64a3030a55</vt:lpwstr>
  </property>
  <property fmtid="{D5CDD505-2E9C-101B-9397-08002B2CF9AE}" pid="9" name="n7b751df62bb43ecb517aa8f58193c79">
    <vt:lpwstr/>
  </property>
  <property fmtid="{D5CDD505-2E9C-101B-9397-08002B2CF9AE}" pid="10" name="d9988a70b12c4af6a05dcb8874945a04">
    <vt:lpwstr>Human resources|c2df9457-d6aa-477c-ac41-707ed1ad495c;Recruitment and Selection|c9a289ab-5da8-4c61-9dec-1d4cf2d1cbd2</vt:lpwstr>
  </property>
  <property fmtid="{D5CDD505-2E9C-101B-9397-08002B2CF9AE}" pid="11" name="SeriesTag">
    <vt:lpwstr/>
  </property>
  <property fmtid="{D5CDD505-2E9C-101B-9397-08002B2CF9AE}" pid="12" name="Visiting Teams">
    <vt:lpwstr/>
  </property>
  <property fmtid="{D5CDD505-2E9C-101B-9397-08002B2CF9AE}" pid="13" name="SubjectTags">
    <vt:lpwstr>287;#Human resources|c2df9457-d6aa-477c-ac41-707ed1ad495c;#323;#Recruitment and Selection|c9a289ab-5da8-4c61-9dec-1d4cf2d1cbd2</vt:lpwstr>
  </property>
  <property fmtid="{D5CDD505-2E9C-101B-9397-08002B2CF9AE}" pid="14" name="FunctionalArea">
    <vt:lpwstr>200;#Human resources|89fe9f54-942e-4b99-b848-ba0087fd3c9c</vt:lpwstr>
  </property>
  <property fmtid="{D5CDD505-2E9C-101B-9397-08002B2CF9AE}" pid="15" name="g46d15b1ec8c4177bccc4a36f9126eda">
    <vt:lpwstr/>
  </property>
  <property fmtid="{D5CDD505-2E9C-101B-9397-08002B2CF9AE}" pid="16" name="ProtectiveZone">
    <vt:lpwstr>Protected</vt:lpwstr>
  </property>
  <property fmtid="{D5CDD505-2E9C-101B-9397-08002B2CF9AE}" pid="17" name="ContentTypeId">
    <vt:lpwstr>0x010100317112D64B058845936AE1298AA14CA0</vt:lpwstr>
  </property>
  <property fmtid="{D5CDD505-2E9C-101B-9397-08002B2CF9AE}" pid="18" name="OriginalFilename">
    <vt:lpwstr>ISL Word A4 Logo and thread only.docx</vt:lpwstr>
  </property>
  <property fmtid="{D5CDD505-2E9C-101B-9397-08002B2CF9AE}" pid="19" name="Owning Team">
    <vt:lpwstr>887;#HR Policy and Business Partners|1dcfcce7-095d-46bf-8d3b-7d1e13d14a05</vt:lpwstr>
  </property>
  <property fmtid="{D5CDD505-2E9C-101B-9397-08002B2CF9AE}" pid="20"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21" name="c96fb2fb72de4de78ba8fe87aa837b5e">
    <vt:lpwstr>Human resources|89fe9f54-942e-4b99-b848-ba0087fd3c9c</vt:lpwstr>
  </property>
</Properties>
</file>