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_first.xml" ContentType="application/vnd.openxmlformats-officedocument.wordprocessingml.header+xml"/>
  <Override PartName="/word/footer0001_first.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lang w:val="en-GB" w:eastAsia="en-GB" w:bidi="en-GB"/>
        </w:rPr>
      </w:pPr>
      <w:r>
        <w:rPr>
          <w:b/>
          <w:bCs/>
          <w:sz w:val="36"/>
          <w:szCs w:val="36"/>
          <w:lang w:val="en-GB" w:eastAsia="en-GB" w:bidi="en-GB"/>
        </w:rPr>
        <w:t xml:space="preserve">Community Safety Officer</w:t>
      </w:r>
    </w:p>
    <w:p>
      <w:pPr>
        <w:pStyle w:val="Bullets (Islington)"/>
        <w:numPr>
          <w:ilvl w:val="0"/>
          <w:numId w:val="2"/>
        </w:numPr>
        <w:tabs>
          <w:tab w:val="left" w:pos="5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8" w:hanging="284"/>
        <w:rPr>
          <w:lang w:val="en-GB" w:eastAsia="en-GB" w:bidi="en-GB"/>
        </w:rPr>
      </w:pPr>
      <w:r>
        <w:rPr>
          <w:lang w:val="en-GB" w:eastAsia="en-GB" w:bidi="en-GB"/>
        </w:rPr>
        <w:t xml:space="preserve">Service area: Community Safety Security and Resilience </w:t>
      </w:r>
    </w:p>
    <w:p>
      <w:pPr>
        <w:pStyle w:val="Bullets (Islington)"/>
        <w:numPr>
          <w:ilvl w:val="0"/>
          <w:numId w:val="2"/>
        </w:numPr>
        <w:tabs>
          <w:tab w:val="left" w:pos="5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8" w:hanging="284"/>
        <w:rPr>
          <w:lang w:val="en-GB" w:eastAsia="en-GB" w:bidi="en-GB"/>
        </w:rPr>
      </w:pPr>
      <w:r>
        <w:rPr>
          <w:lang w:val="en-GB" w:eastAsia="en-GB" w:bidi="en-GB"/>
        </w:rPr>
        <w:t xml:space="preserve">Grade: PO3</w:t>
      </w:r>
    </w:p>
    <w:p>
      <w:pPr>
        <w:pStyle w:val="Bullets (Islington)"/>
        <w:numPr>
          <w:ilvl w:val="0"/>
          <w:numId w:val="2"/>
        </w:numPr>
        <w:tabs>
          <w:tab w:val="left" w:pos="5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8" w:hanging="284"/>
        <w:rPr>
          <w:lang w:val="en-GB" w:eastAsia="en-GB" w:bidi="en-GB"/>
        </w:rPr>
      </w:pPr>
      <w:r>
        <w:rPr>
          <w:lang w:val="en-GB" w:eastAsia="en-GB" w:bidi="en-GB"/>
        </w:rPr>
        <w:t xml:space="preserve">Reports to: Rosamund Harris</w:t>
      </w:r>
    </w:p>
    <w:p>
      <w:pPr>
        <w:pStyle w:val="Bullets (Islington)"/>
        <w:numPr>
          <w:ilvl w:val="0"/>
          <w:numId w:val="2"/>
        </w:numPr>
        <w:tabs>
          <w:tab w:val="left" w:pos="5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8" w:hanging="284"/>
        <w:rPr>
          <w:lang w:val="en-GB" w:eastAsia="en-GB" w:bidi="en-GB"/>
        </w:rPr>
      </w:pPr>
      <w:r>
        <w:rPr>
          <w:lang w:val="en-GB" w:eastAsia="en-GB" w:bidi="en-GB"/>
        </w:rPr>
        <w:t xml:space="preserve">Your team: Community Safety Team</w:t>
      </w:r>
    </w:p>
    <w:p>
      <w:pPr>
        <w:pStyle w:val="Bullets (Islington)"/>
        <w:numPr>
          <w:ilvl w:val="0"/>
          <w:numId w:val="2"/>
        </w:numPr>
        <w:tabs>
          <w:tab w:val="left" w:pos="5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8" w:hanging="284"/>
        <w:rPr>
          <w:lang w:val="en-GB" w:eastAsia="en-GB" w:bidi="en-GB"/>
        </w:rPr>
      </w:pPr>
      <w:r>
        <w:rPr>
          <w:lang w:val="en-GB" w:eastAsia="en-GB" w:bidi="en-GB"/>
        </w:rPr>
        <w:t xml:space="preserve">Number of supervisees: 0</w:t>
      </w:r>
    </w:p>
    <w:p>
      <w:pPr>
        <w:pStyle w:val="Heading 2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Our mission </w:t>
      </w:r>
    </w:p>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We are determined to create a more equal Islington, where everyone who lives here has an equal chance to thrive. </w:t>
      </w:r>
    </w:p>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To do this, everyone who works at Islington Council lives by a set of values which guide us in everything that we do: collaborative, ambitious, resourceful, and empowering. They spell out ‘CARE’, which is what we think public service is all about. </w:t>
      </w:r>
    </w:p>
    <w:p>
      <w:pPr>
        <w:pStyle w:val="Heading 2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sz w:val="24"/>
          <w:szCs w:val="24"/>
          <w:lang w:val="en-GB" w:eastAsia="en-GB" w:bidi="en-GB"/>
        </w:rPr>
      </w:pPr>
      <w:r>
        <w:rPr>
          <w:rStyle w:val="eop"/>
          <w:lang w:val="en-GB" w:eastAsia="en-GB" w:bidi="en-GB"/>
        </w:rPr>
        <w:t xml:space="preserve">Key responsibilities</w:t>
      </w:r>
      <w:r>
        <w:rPr>
          <w:rStyle w:val="eop"/>
          <w:sz w:val="24"/>
          <w:szCs w:val="24"/>
          <w:lang w:val="en-GB" w:eastAsia="en-GB" w:bidi="en-GB"/>
        </w:rPr>
        <w:t xml:space="preserve"> </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12" w:line="247" w:lineRule="auto"/>
        <w:ind w:right="8" w:hanging="360"/>
        <w:rPr>
          <w:lang w:val="en-GB" w:eastAsia="en-GB" w:bidi="en-GB"/>
        </w:rPr>
      </w:pPr>
      <w:r>
        <w:rPr>
          <w:lang w:val="en-GB" w:eastAsia="en-GB" w:bidi="en-GB"/>
        </w:rPr>
        <w:t xml:space="preserve">To develop a ‘neighbourhood management’ approach to community safety issues, bringing local communities and service providers together to tackle location-based problems and improve public perception. </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12" w:line="247" w:lineRule="auto"/>
        <w:ind w:right="8" w:hanging="360"/>
        <w:rPr>
          <w:lang w:val="en-GB" w:eastAsia="en-GB" w:bidi="en-GB"/>
        </w:rPr>
      </w:pPr>
      <w:r>
        <w:rPr>
          <w:lang w:val="en-GB" w:eastAsia="en-GB" w:bidi="en-GB"/>
        </w:rPr>
        <w:t xml:space="preserve">To work as part of a team of officers to lead a co-ordinated response to priority issues of concern identified through the analysis of data and intelligence. </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12" w:line="247" w:lineRule="auto"/>
        <w:ind w:right="8" w:hanging="360"/>
        <w:rPr>
          <w:lang w:val="en-GB" w:eastAsia="en-GB" w:bidi="en-GB"/>
        </w:rPr>
      </w:pPr>
      <w:r>
        <w:rPr>
          <w:lang w:val="en-GB" w:eastAsia="en-GB" w:bidi="en-GB"/>
        </w:rPr>
        <w:t xml:space="preserve">To have an area of specialism and provide support to other team members in respect of that issue. </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12" w:line="247" w:lineRule="auto"/>
        <w:ind w:right="8" w:hanging="360"/>
        <w:rPr>
          <w:lang w:val="en-GB" w:eastAsia="en-GB" w:bidi="en-GB"/>
        </w:rPr>
      </w:pPr>
      <w:r>
        <w:rPr>
          <w:lang w:val="en-GB" w:eastAsia="en-GB" w:bidi="en-GB"/>
        </w:rPr>
        <w:t xml:space="preserve">To develop an in-depth knowledge of relevant community safety issues in the area and establish local partnership links with multi-agencies including the police, council departments, housing providers, voluntary sector, businesses, resident and community groups and ward councillors to provide a co-ordinated response to priorities. </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12" w:line="247" w:lineRule="auto"/>
        <w:ind w:right="8" w:hanging="360"/>
        <w:rPr>
          <w:lang w:val="en-GB" w:eastAsia="en-GB" w:bidi="en-GB"/>
        </w:rPr>
      </w:pPr>
      <w:r>
        <w:rPr>
          <w:lang w:val="en-GB" w:eastAsia="en-GB" w:bidi="en-GB"/>
        </w:rPr>
        <w:t xml:space="preserve">To lead multi-agencies on delivering effective engagement with the community including using mechanisms such as police ward panels, ward partnerships and tenant and resident associations, ensuring representative involvement including marginalised and hard-to-reach groups.  </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12" w:line="247" w:lineRule="auto"/>
        <w:ind w:right="8" w:hanging="360"/>
        <w:rPr>
          <w:lang w:val="en-GB" w:eastAsia="en-GB" w:bidi="en-GB"/>
        </w:rPr>
      </w:pPr>
      <w:r>
        <w:rPr>
          <w:lang w:val="en-GB" w:eastAsia="en-GB" w:bidi="en-GB"/>
        </w:rPr>
        <w:t xml:space="preserve">To organise and participate in community safety events including meetings and community action days linking in with key stakeholders and partner agencies. </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12" w:line="247" w:lineRule="auto"/>
        <w:ind w:right="8" w:hanging="360"/>
        <w:rPr>
          <w:lang w:val="en-GB" w:eastAsia="en-GB" w:bidi="en-GB"/>
        </w:rPr>
      </w:pPr>
      <w:r>
        <w:rPr>
          <w:lang w:val="en-GB" w:eastAsia="en-GB" w:bidi="en-GB"/>
        </w:rPr>
        <w:t xml:space="preserve">To organise and facilitate meetings with a range of partner agencies, businesses, community groups and residents. This includes providing administrative support including room bookings, agenda setting, minute taking, distribution of paperwork and ensuring appropriate attendance.</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12" w:line="247" w:lineRule="auto"/>
        <w:ind w:right="8" w:hanging="360"/>
        <w:rPr>
          <w:lang w:val="en-GB" w:eastAsia="en-GB" w:bidi="en-GB"/>
        </w:rPr>
      </w:pPr>
      <w:r>
        <w:rPr>
          <w:lang w:val="en-GB" w:eastAsia="en-GB" w:bidi="en-GB"/>
        </w:rPr>
        <w:t xml:space="preserve">To lead on co-ordinating and facilitating environmental visual audits (EVAs) and problem-solving site visits ensuring key stakeholders are involved in the process. </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12" w:line="247" w:lineRule="auto"/>
        <w:ind w:right="8" w:hanging="360"/>
        <w:rPr>
          <w:lang w:val="en-GB" w:eastAsia="en-GB" w:bidi="en-GB"/>
        </w:rPr>
      </w:pPr>
      <w:r>
        <w:rPr>
          <w:lang w:val="en-GB" w:eastAsia="en-GB" w:bidi="en-GB"/>
        </w:rPr>
        <w:t xml:space="preserve">To lead on delivering a response to tackle community safety issues of concern including initiating enforcement action using the range of tools and powers available. </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12" w:line="247" w:lineRule="auto"/>
        <w:ind w:right="8" w:hanging="360"/>
        <w:rPr>
          <w:lang w:val="en-GB" w:eastAsia="en-GB" w:bidi="en-GB"/>
        </w:rPr>
      </w:pPr>
      <w:r>
        <w:rPr>
          <w:lang w:val="en-GB" w:eastAsia="en-GB" w:bidi="en-GB"/>
        </w:rPr>
        <w:t xml:space="preserve">To identify commission and manage projects maximising funding opportunities including match funding from partner agencies for initiatives. </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12" w:line="247" w:lineRule="auto"/>
        <w:ind w:right="8" w:hanging="360"/>
        <w:rPr>
          <w:lang w:val="en-GB" w:eastAsia="en-GB" w:bidi="en-GB"/>
        </w:rPr>
      </w:pPr>
      <w:r>
        <w:rPr>
          <w:lang w:val="en-GB" w:eastAsia="en-GB" w:bidi="en-GB"/>
        </w:rPr>
        <w:t xml:space="preserve">To evaluate the impact of interventions to establish what works well and why, including data analysis and research. </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12" w:line="247" w:lineRule="auto"/>
        <w:ind w:right="8" w:hanging="360"/>
        <w:rPr>
          <w:lang w:val="en-GB" w:eastAsia="en-GB" w:bidi="en-GB"/>
        </w:rPr>
      </w:pPr>
      <w:r>
        <w:rPr>
          <w:lang w:val="en-GB" w:eastAsia="en-GB" w:bidi="en-GB"/>
        </w:rPr>
        <w:t xml:space="preserve">To liaise closely with the Communications Team to publicise updates on action taken, including enforcement and good news stories, to local communities through a range of mediums including public meetings, frontline staff, community newsletters, press, partner publications, websites and other forms of social media.  </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12" w:line="247" w:lineRule="auto"/>
        <w:ind w:right="8" w:hanging="360"/>
        <w:rPr>
          <w:lang w:val="en-GB" w:eastAsia="en-GB" w:bidi="en-GB"/>
        </w:rPr>
      </w:pPr>
      <w:r>
        <w:rPr>
          <w:lang w:val="en-GB" w:eastAsia="en-GB" w:bidi="en-GB"/>
        </w:rPr>
        <w:t xml:space="preserve">To prepare reports and deliver presentations to relevant groups, committees and subgroups as required. </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12" w:line="247" w:lineRule="auto"/>
        <w:ind w:right="8" w:hanging="360"/>
        <w:rPr>
          <w:lang w:val="en-GB" w:eastAsia="en-GB" w:bidi="en-GB"/>
        </w:rPr>
      </w:pPr>
      <w:r>
        <w:rPr>
          <w:lang w:val="en-GB" w:eastAsia="en-GB" w:bidi="en-GB"/>
        </w:rPr>
        <w:t xml:space="preserve">To keep updated of good practice and developments in fields relevant to place-based crime and community safety issues. </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83" w:line="247" w:lineRule="auto"/>
        <w:ind w:right="8" w:hanging="360"/>
        <w:rPr>
          <w:lang w:val="en-GB" w:eastAsia="en-GB" w:bidi="en-GB"/>
        </w:rPr>
      </w:pPr>
      <w:r>
        <w:rPr>
          <w:lang w:val="en-GB" w:eastAsia="en-GB" w:bidi="en-GB"/>
        </w:rPr>
        <w:t xml:space="preserve">To work outside office hours as required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3" w:line="259" w:lineRule="auto"/>
        <w:ind w:left="17"/>
        <w:rPr>
          <w:lang w:val="en-GB" w:eastAsia="en-GB" w:bidi="en-GB"/>
        </w:rPr>
      </w:pPr>
      <w:r>
        <w:rPr>
          <w:lang w:val="en-GB" w:eastAsia="en-GB" w:bidi="en-GB"/>
        </w:rPr>
        <w:t xml:space="preserve"> </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3" w:line="259" w:lineRule="auto"/>
        <w:ind w:left="12"/>
        <w:rPr>
          <w:lang w:val="en-GB" w:eastAsia="en-GB" w:bidi="en-GB"/>
        </w:rPr>
      </w:pPr>
      <w:r>
        <w:rPr>
          <w:rFonts w:ascii="Tahoma" w:hAnsi="Tahoma" w:eastAsia="Tahoma" w:cs="Tahoma"/>
          <w:b/>
          <w:bCs/>
          <w:lang w:val="en-GB" w:eastAsia="en-GB" w:bidi="en-GB"/>
        </w:rPr>
        <w:t xml:space="preserve"> ADDITIONAL: </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 w:hanging="360"/>
        <w:rPr>
          <w:lang w:val="en-GB" w:eastAsia="en-GB" w:bidi="en-GB"/>
        </w:rPr>
      </w:pPr>
      <w:r>
        <w:rPr>
          <w:lang w:val="en-GB" w:eastAsia="en-GB" w:bidi="en-GB"/>
        </w:rPr>
        <w:t xml:space="preserve">The post may require occasional co-location with police and other partners. </w:t>
      </w: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 w:hanging="360"/>
        <w:rPr>
          <w:lang w:val="en-GB" w:eastAsia="en-GB" w:bidi="en-GB"/>
        </w:rPr>
      </w:pPr>
      <w:r>
        <w:rPr>
          <w:sz w:val="25"/>
          <w:szCs w:val="25"/>
          <w:lang w:val="en-GB" w:eastAsia="en-GB" w:bidi="en-GB"/>
        </w:rPr>
        <w:t xml:space="preserve">The title of the post to which I normally report is: </w:t>
      </w:r>
      <w:r>
        <w:rPr>
          <w:lang w:val="en-GB" w:eastAsia="en-GB" w:bidi="en-GB"/>
        </w:rPr>
        <w:t xml:space="preserve">Community Safety Manager </w:t>
      </w:r>
    </w:p>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Heading 3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Heading 3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Leadership</w:t>
      </w:r>
    </w:p>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As a member of the council’s management team, to contribute proactively to the collective leadership for the council, working collaboratively with Members, services across the council, partners and stakeholders to deliver the council’s objectives and priorities. </w:t>
      </w:r>
    </w:p>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To drive positive cultural change, embodying and promoting the values and behaviours of the council and empowering staff to reach their full potential. Ensure that the performance and development framework is effective for all staff.</w:t>
      </w:r>
    </w:p>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To lead on and ensure the effective implementation of corporate initiatives and transformation programmes that cut across the whole or part of the council’s activities.</w:t>
      </w:r>
    </w:p>
    <w:p>
      <w:pPr>
        <w:pStyle w:val="Heading 3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Resources and Financial Management</w:t>
      </w:r>
    </w:p>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Ensure effective Financial Management, cost controls and income maximisation in an ever-changing environment, fluctuating demands and priorities. Ensure resources are well managed and effectively deployed to the best possible effects assuring value for money in all activities.</w:t>
      </w:r>
    </w:p>
    <w:p>
      <w:pPr>
        <w:pStyle w:val="Heading 3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Compliance</w:t>
      </w:r>
    </w:p>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Ensure legal, regulatory and policy compliance under GDPR, Health and Safety and in area of your specialism identifying opportunities and risks and escalating where appropriate.</w:t>
      </w:r>
    </w:p>
    <w:p>
      <w:pPr>
        <w:pStyle w:val="Heading 3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lang w:val="en-GB" w:eastAsia="en-GB" w:bidi="en-GB"/>
        </w:rPr>
      </w:pPr>
      <w:r>
        <w:rPr>
          <w:lang w:val="en-GB" w:eastAsia="en-GB" w:bidi="en-GB"/>
        </w:rPr>
        <w:t xml:space="preserve">Budget Responsibilities</w:t>
      </w:r>
    </w:p>
    <w:p>
      <w:pPr>
        <w:pStyle w:val="Heading 2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Work style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lang w:val="en-GB" w:eastAsia="en-GB" w:bidi="en-GB"/>
        </w:rPr>
      </w:pPr>
      <w:r>
        <w:rPr>
          <w:lang w:val="en-GB" w:eastAsia="en-GB" w:bidi="en-GB"/>
        </w:rPr>
        <w:t xml:space="preserve">This is a front facing position which means you will have a hybrid workstyle predominantly in the office with some work from home days </w:t>
      </w:r>
    </w:p>
    <w:p>
      <w:pPr>
        <w:pStyle w:val="Heading 2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Person specification</w:t>
      </w:r>
    </w:p>
    <w:p>
      <w:pPr>
        <w:pStyle w:val="Bullets (Islington)"/>
        <w:numPr>
          <w:ilvl w:val="0"/>
          <w:numId w:val="0"/>
        </w:numPr>
        <w:tabs>
          <w:tab w:val="left" w:pos="284"/>
          <w:tab w:val="left" w:pos="5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8" w:hanging="284"/>
        <w:rPr>
          <w:lang w:val="en-GB" w:eastAsia="en-GB" w:bidi="en-GB"/>
        </w:rPr>
      </w:pPr>
      <w:r>
        <w:rPr>
          <w:color w:val="000000"/>
          <w:lang w:val="en-GB" w:eastAsia="en-GB" w:bidi="en-GB"/>
        </w:rPr>
        <w:t xml:space="preserve">You should demonstrate on your application form how you meet the criteria. Please ensure you address all the criteria as this will be used to assess your suitability for the post.  </w:t>
      </w:r>
    </w:p>
    <w:p>
      <w:pPr>
        <w:pStyle w:val="Heading 3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Essential criteria</w:t>
      </w:r>
    </w:p>
    <w:p>
      <w:pPr>
        <w:pStyle w:val="Heading 4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Experience</w:t>
      </w:r>
    </w:p>
    <w:tbl>
      <w:tblPr>
        <w:tblW w:w="0" w:type="auto"/>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1967"/>
        <w:gridCol w:w="5270"/>
        <w:gridCol w:w="2951"/>
      </w:tblGrid>
      <w:tr>
        <w:trPr>
          <w:cantSplit/>
          <w:tblHeader/>
        </w:trPr>
        <w:tc>
          <w:tcPr>
            <w:tcW w:w="1967" w:type="dxa"/>
            <w:shd w:val="clear" w:color="auto" w:fill="288647"/>
            <w:vAlign w:val="top"/>
          </w:tcPr>
          <w:p>
            <w:pPr>
              <w:pStyle w:val="Heading 4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val="off"/>
                <w:bCs w:val="off"/>
                <w:color w:val="BFBFBF"/>
                <w:lang w:val="en-GB" w:eastAsia="en-GB" w:bidi="en-GB"/>
              </w:rPr>
            </w:pPr>
            <w:r>
              <w:rPr>
                <w:b w:val="off"/>
                <w:bCs w:val="off"/>
                <w:color w:val="BFBFBF"/>
                <w:lang w:val="en-GB" w:eastAsia="en-GB" w:bidi="en-GB"/>
              </w:rPr>
              <w:t xml:space="preserve">Essential criteria</w:t>
            </w:r>
          </w:p>
        </w:tc>
        <w:tc>
          <w:tcPr>
            <w:tcW w:w="5270" w:type="dxa"/>
            <w:shd w:val="clear" w:color="auto" w:fill="288647"/>
            <w:vAlign w:val="top"/>
          </w:tcPr>
          <w:p>
            <w:pPr>
              <w:pStyle w:val="Heading 4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val="off"/>
                <w:bCs w:val="off"/>
                <w:color w:val="BFBFBF"/>
                <w:lang w:val="en-GB" w:eastAsia="en-GB" w:bidi="en-GB"/>
              </w:rPr>
            </w:pPr>
            <w:r>
              <w:rPr>
                <w:b w:val="off"/>
                <w:bCs w:val="off"/>
                <w:color w:val="BFBFBF"/>
                <w:lang w:val="en-GB" w:eastAsia="en-GB" w:bidi="en-GB"/>
              </w:rPr>
              <w:t xml:space="preserve">Criteria description</w:t>
            </w:r>
          </w:p>
        </w:tc>
        <w:tc>
          <w:tcPr>
            <w:tcW w:w="2951" w:type="dxa"/>
            <w:shd w:val="clear" w:color="auto" w:fill="288647"/>
            <w:vAlign w:val="top"/>
          </w:tcPr>
          <w:p>
            <w:pPr>
              <w:pStyle w:val="Heading 4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val="off"/>
                <w:bCs w:val="off"/>
                <w:color w:val="BFBFBF"/>
                <w:lang w:val="en-GB" w:eastAsia="en-GB" w:bidi="en-GB"/>
              </w:rPr>
            </w:pPr>
            <w:r>
              <w:rPr>
                <w:b w:val="off"/>
                <w:bCs w:val="off"/>
                <w:color w:val="BFBFBF"/>
                <w:lang w:val="en-GB" w:eastAsia="en-GB" w:bidi="en-GB"/>
              </w:rPr>
              <w:t xml:space="preserve">Assessed by</w:t>
            </w:r>
          </w:p>
        </w:tc>
      </w:tr>
      <w:tr>
        <w:tc>
          <w:tcPr>
            <w:tcW w:w="1967" w:type="dxa"/>
            <w:shd w:val="clear" w:color="auto" w:fill="auto"/>
            <w:vAlign w:val="top"/>
          </w:tcPr>
          <w:p>
            <w:pPr>
              <w:pStyle w:val="Heading 4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val="off"/>
                <w:bCs w:val="off"/>
                <w:lang w:val="en-GB" w:eastAsia="en-GB" w:bidi="en-GB"/>
              </w:rPr>
            </w:pPr>
            <w:r>
              <w:rPr>
                <w:b w:val="off"/>
                <w:bCs w:val="off"/>
                <w:lang w:val="en-GB" w:eastAsia="en-GB" w:bidi="en-GB"/>
              </w:rPr>
              <w:t xml:space="preserve">E1</w:t>
            </w:r>
          </w:p>
        </w:tc>
        <w:tc>
          <w:tcPr>
            <w:tcW w:w="5270"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Experience of partnership working within community safety, criminal justice, housing, health or social care in either the statutory or the voluntary sector.</w:t>
            </w:r>
          </w:p>
        </w:tc>
        <w:tc>
          <w:tcPr>
            <w:tcW w:w="2951" w:type="dxa"/>
            <w:shd w:val="clear" w:color="auto" w:fill="auto"/>
            <w:vAlign w:val="top"/>
          </w:tcPr>
          <w:p>
            <w:pPr>
              <w:pStyle w:val="Heading 4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val="off"/>
                <w:bCs w:val="off"/>
                <w:lang w:val="en-GB" w:eastAsia="en-GB" w:bidi="en-GB"/>
              </w:rPr>
            </w:pPr>
            <w:r>
              <w:rPr>
                <w:b w:val="off"/>
                <w:bCs w:val="off"/>
                <w:lang w:val="en-GB" w:eastAsia="en-GB" w:bidi="en-GB"/>
              </w:rPr>
              <w:t xml:space="preserve">Application/Interview</w:t>
            </w:r>
          </w:p>
        </w:tc>
      </w:tr>
      <w:tr>
        <w:tc>
          <w:tcPr>
            <w:tcW w:w="1967" w:type="dxa"/>
            <w:shd w:val="clear" w:color="auto" w:fill="E3E3E3"/>
            <w:vAlign w:val="top"/>
          </w:tcPr>
          <w:p>
            <w:pPr>
              <w:pStyle w:val="Heading 4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val="off"/>
                <w:bCs w:val="off"/>
                <w:lang w:val="en-GB" w:eastAsia="en-GB" w:bidi="en-GB"/>
              </w:rPr>
            </w:pPr>
            <w:r>
              <w:rPr>
                <w:b w:val="off"/>
                <w:bCs w:val="off"/>
                <w:lang w:val="en-GB" w:eastAsia="en-GB" w:bidi="en-GB"/>
              </w:rPr>
              <w:t xml:space="preserve">E2</w:t>
            </w:r>
          </w:p>
        </w:tc>
        <w:tc>
          <w:tcPr>
            <w:tcW w:w="5270" w:type="dxa"/>
            <w:shd w:val="clear" w:color="auto" w:fill="E3E3E3"/>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Experience of project management and basic financial management skills.</w:t>
            </w:r>
          </w:p>
        </w:tc>
        <w:tc>
          <w:tcPr>
            <w:tcW w:w="2951" w:type="dxa"/>
            <w:shd w:val="clear" w:color="auto" w:fill="E3E3E3"/>
            <w:vAlign w:val="top"/>
          </w:tcPr>
          <w:p>
            <w:pPr>
              <w:pStyle w:val="Heading 4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val="off"/>
                <w:bCs w:val="off"/>
                <w:lang w:val="en-GB" w:eastAsia="en-GB" w:bidi="en-GB"/>
              </w:rPr>
            </w:pPr>
            <w:r>
              <w:rPr>
                <w:b w:val="off"/>
                <w:bCs w:val="off"/>
                <w:lang w:val="en-GB" w:eastAsia="en-GB" w:bidi="en-GB"/>
              </w:rPr>
              <w:t xml:space="preserve">Application/Interview</w:t>
            </w:r>
          </w:p>
        </w:tc>
      </w:tr>
    </w:tbl>
    <w:p>
      <w:pPr>
        <w:pStyle w:val="Heading 4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Skills</w:t>
      </w:r>
    </w:p>
    <w:tbl>
      <w:tblPr>
        <w:tblW w:w="0" w:type="auto"/>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2005"/>
        <w:gridCol w:w="5232"/>
        <w:gridCol w:w="2951"/>
      </w:tblGrid>
      <w:tr>
        <w:trPr>
          <w:cantSplit/>
          <w:tblHeader/>
        </w:trPr>
        <w:tc>
          <w:tcPr>
            <w:tcW w:w="2005" w:type="dxa"/>
            <w:shd w:val="clear" w:color="auto" w:fill="288647"/>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FFFF"/>
                <w:lang w:val="en-GB" w:eastAsia="en-GB" w:bidi="en-GB"/>
              </w:rPr>
            </w:pPr>
            <w:r>
              <w:rPr>
                <w:color w:val="FFFFFF"/>
                <w:lang w:val="en-GB" w:eastAsia="en-GB" w:bidi="en-GB"/>
              </w:rPr>
              <w:t xml:space="preserve">Essential criteria</w:t>
            </w:r>
          </w:p>
        </w:tc>
        <w:tc>
          <w:tcPr>
            <w:tcW w:w="5232" w:type="dxa"/>
            <w:shd w:val="clear" w:color="auto" w:fill="288647"/>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FFFF"/>
                <w:lang w:val="en-GB" w:eastAsia="en-GB" w:bidi="en-GB"/>
              </w:rPr>
            </w:pPr>
            <w:r>
              <w:rPr>
                <w:color w:val="FFFFFF"/>
                <w:lang w:val="en-GB" w:eastAsia="en-GB" w:bidi="en-GB"/>
              </w:rPr>
              <w:t xml:space="preserve">Criteria description</w:t>
            </w:r>
          </w:p>
        </w:tc>
        <w:tc>
          <w:tcPr>
            <w:tcW w:w="2951" w:type="dxa"/>
            <w:shd w:val="clear" w:color="auto" w:fill="288647"/>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FFFF"/>
                <w:lang w:val="en-GB" w:eastAsia="en-GB" w:bidi="en-GB"/>
              </w:rPr>
            </w:pPr>
            <w:r>
              <w:rPr>
                <w:color w:val="FFFFFF"/>
                <w:lang w:val="en-GB" w:eastAsia="en-GB" w:bidi="en-GB"/>
              </w:rPr>
              <w:t xml:space="preserve">Assessed by</w:t>
            </w:r>
          </w:p>
        </w:tc>
      </w:tr>
      <w:tr>
        <w:tc>
          <w:tcPr>
            <w:tcW w:w="2005"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E3</w:t>
            </w:r>
          </w:p>
        </w:tc>
        <w:tc>
          <w:tcPr>
            <w:tcW w:w="5232"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Excellent inter-personal and communication skills, both written and verbal, and the ability to communicate and present ideas and issues to a wide range of individuals and groups.</w:t>
            </w:r>
          </w:p>
        </w:tc>
        <w:tc>
          <w:tcPr>
            <w:tcW w:w="2951"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Application/Interview</w:t>
            </w:r>
          </w:p>
        </w:tc>
      </w:tr>
      <w:tr>
        <w:tc>
          <w:tcPr>
            <w:tcW w:w="2005" w:type="dxa"/>
            <w:shd w:val="clear" w:color="auto" w:fill="E3E3E3"/>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E4</w:t>
            </w:r>
          </w:p>
        </w:tc>
        <w:tc>
          <w:tcPr>
            <w:tcW w:w="5232" w:type="dxa"/>
            <w:shd w:val="clear" w:color="auto" w:fill="E3E3E3"/>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Understanding of the issues related to working with residents, businesses and community groups on crime and community safety issues (including street population, substance misuse, gang activity, environmental issues) and the role of community safety partnerships</w:t>
            </w:r>
          </w:p>
        </w:tc>
        <w:tc>
          <w:tcPr>
            <w:tcW w:w="2951" w:type="dxa"/>
            <w:shd w:val="clear" w:color="auto" w:fill="E3E3E3"/>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Application/Interview</w:t>
            </w:r>
          </w:p>
        </w:tc>
      </w:tr>
      <w:tr>
        <w:tc>
          <w:tcPr>
            <w:tcW w:w="2005"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E5</w:t>
            </w:r>
          </w:p>
        </w:tc>
        <w:tc>
          <w:tcPr>
            <w:tcW w:w="5232"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Ability to undertake research and problem analysis of a complex nature to develop a thorough understanding of the relevant issues in the area, the agencies that need to be involved and the level of community engagement required to establish effective problem-solving solutions</w:t>
            </w:r>
          </w:p>
        </w:tc>
        <w:tc>
          <w:tcPr>
            <w:tcW w:w="2951"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Application/Interview</w:t>
            </w:r>
          </w:p>
        </w:tc>
      </w:tr>
      <w:tr>
        <w:tc>
          <w:tcPr>
            <w:tcW w:w="2005" w:type="dxa"/>
            <w:shd w:val="clear" w:color="auto" w:fill="E3E3E3"/>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E6</w:t>
            </w:r>
          </w:p>
        </w:tc>
        <w:tc>
          <w:tcPr>
            <w:tcW w:w="5232" w:type="dxa"/>
            <w:shd w:val="clear" w:color="auto" w:fill="E3E3E3"/>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Experience in leading multi-agencies on improving community confidence engagement and resilience, this will organising events and initiatives and delivering training sessions or workshops</w:t>
            </w:r>
          </w:p>
        </w:tc>
        <w:tc>
          <w:tcPr>
            <w:tcW w:w="2951" w:type="dxa"/>
            <w:shd w:val="clear" w:color="auto" w:fill="E3E3E3"/>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Application/Interview</w:t>
            </w:r>
          </w:p>
        </w:tc>
      </w:tr>
      <w:tr>
        <w:tc>
          <w:tcPr>
            <w:tcW w:w="2005"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E7</w:t>
            </w:r>
          </w:p>
        </w:tc>
        <w:tc>
          <w:tcPr>
            <w:tcW w:w="5232"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Ability to develop relationships and network effectively, build successful partnership cooperation and work collaboratively with a wide range of external bodies including public, voluntary and private organisations and individuals.</w:t>
            </w:r>
          </w:p>
        </w:tc>
        <w:tc>
          <w:tcPr>
            <w:tcW w:w="2951"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Application/Interview</w:t>
            </w:r>
          </w:p>
        </w:tc>
      </w:tr>
      <w:tr>
        <w:tc>
          <w:tcPr>
            <w:tcW w:w="2005" w:type="dxa"/>
            <w:shd w:val="clear" w:color="auto" w:fill="E3E3E3"/>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E8</w:t>
            </w:r>
          </w:p>
        </w:tc>
        <w:tc>
          <w:tcPr>
            <w:tcW w:w="5232" w:type="dxa"/>
            <w:shd w:val="clear" w:color="auto" w:fill="E3E3E3"/>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Demonstrate experience in planning, executing and overseeing projects, ensuring they are completed on time specification and within budget.</w:t>
            </w:r>
          </w:p>
        </w:tc>
        <w:tc>
          <w:tcPr>
            <w:tcW w:w="2951" w:type="dxa"/>
            <w:shd w:val="clear" w:color="auto" w:fill="E3E3E3"/>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Application/Interview</w:t>
            </w:r>
          </w:p>
        </w:tc>
      </w:tr>
      <w:tr>
        <w:tc>
          <w:tcPr>
            <w:tcW w:w="2005"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E9</w:t>
            </w:r>
          </w:p>
        </w:tc>
        <w:tc>
          <w:tcPr>
            <w:tcW w:w="5232"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Ability to work with a high level of integrity and confidentiality to prioritise and manage workloads to meet strict deadlines </w:t>
            </w:r>
          </w:p>
        </w:tc>
        <w:tc>
          <w:tcPr>
            <w:tcW w:w="2951"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Application/Interview</w:t>
            </w:r>
          </w:p>
        </w:tc>
      </w:tr>
      <w:tr>
        <w:tc>
          <w:tcPr>
            <w:tcW w:w="2005" w:type="dxa"/>
            <w:shd w:val="clear" w:color="auto" w:fill="E3E3E3"/>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E10</w:t>
            </w:r>
          </w:p>
        </w:tc>
        <w:tc>
          <w:tcPr>
            <w:tcW w:w="5232" w:type="dxa"/>
            <w:shd w:val="clear" w:color="auto" w:fill="E3E3E3"/>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Willingness to work flexibly (including evenings/weekends), manage diversity, and promote inclusion, generating commitment and enthusiasm for tasks.</w:t>
            </w:r>
          </w:p>
        </w:tc>
        <w:tc>
          <w:tcPr>
            <w:tcW w:w="2951" w:type="dxa"/>
            <w:shd w:val="clear" w:color="auto" w:fill="E3E3E3"/>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Application/Interview</w:t>
            </w:r>
          </w:p>
        </w:tc>
      </w:tr>
      <w:tr>
        <w:tc>
          <w:tcPr>
            <w:tcW w:w="2005"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E11</w:t>
            </w:r>
          </w:p>
        </w:tc>
        <w:tc>
          <w:tcPr>
            <w:tcW w:w="5232"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Awareness of and ability to deliver services within the framework of the council’s ‘Dignity For All’ policy, fostering fairness and respect for all.</w:t>
            </w:r>
          </w:p>
        </w:tc>
        <w:tc>
          <w:tcPr>
            <w:tcW w:w="2951"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Application/Interview</w:t>
            </w:r>
          </w:p>
        </w:tc>
      </w:tr>
    </w:tbl>
    <w:p>
      <w:pPr>
        <w:pStyle w:val="Heading 4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Special requirements of the post </w:t>
      </w:r>
    </w:p>
    <w:tbl>
      <w:tblPr>
        <w:tblW w:w="0" w:type="auto"/>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1948"/>
        <w:gridCol w:w="5289"/>
        <w:gridCol w:w="2951"/>
      </w:tblGrid>
      <w:tr>
        <w:trPr>
          <w:cantSplit/>
          <w:tblHeader/>
        </w:trPr>
        <w:tc>
          <w:tcPr>
            <w:tcW w:w="1948" w:type="dxa"/>
            <w:shd w:val="clear" w:color="auto" w:fill="288647"/>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FFFF"/>
                <w:lang w:val="en-GB" w:eastAsia="en-GB" w:bidi="en-GB"/>
              </w:rPr>
            </w:pPr>
            <w:r>
              <w:rPr>
                <w:color w:val="FFFFFF"/>
                <w:lang w:val="en-GB" w:eastAsia="en-GB" w:bidi="en-GB"/>
              </w:rPr>
              <w:t xml:space="preserve">Essential criteria</w:t>
            </w:r>
          </w:p>
        </w:tc>
        <w:tc>
          <w:tcPr>
            <w:tcW w:w="5289" w:type="dxa"/>
            <w:shd w:val="clear" w:color="auto" w:fill="288647"/>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FFFF"/>
                <w:lang w:val="en-GB" w:eastAsia="en-GB" w:bidi="en-GB"/>
              </w:rPr>
            </w:pPr>
            <w:r>
              <w:rPr>
                <w:color w:val="FFFFFF"/>
                <w:lang w:val="en-GB" w:eastAsia="en-GB" w:bidi="en-GB"/>
              </w:rPr>
              <w:t xml:space="preserve">Criteria description</w:t>
            </w:r>
          </w:p>
        </w:tc>
        <w:tc>
          <w:tcPr>
            <w:tcW w:w="2951" w:type="dxa"/>
            <w:shd w:val="clear" w:color="auto" w:fill="288647"/>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FFFF"/>
                <w:lang w:val="en-GB" w:eastAsia="en-GB" w:bidi="en-GB"/>
              </w:rPr>
            </w:pPr>
            <w:r>
              <w:rPr>
                <w:color w:val="FFFFFF"/>
                <w:lang w:val="en-GB" w:eastAsia="en-GB" w:bidi="en-GB"/>
              </w:rPr>
              <w:t xml:space="preserve">Assessed by</w:t>
            </w:r>
          </w:p>
        </w:tc>
      </w:tr>
      <w:tr>
        <w:tc>
          <w:tcPr>
            <w:tcW w:w="1948"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15</w:t>
            </w:r>
          </w:p>
        </w:tc>
        <w:tc>
          <w:tcPr>
            <w:tcW w:w="5289"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This role will require you to obtain a Basic DBS check</w:t>
            </w:r>
          </w:p>
        </w:tc>
        <w:tc>
          <w:tcPr>
            <w:tcW w:w="2951"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Application</w:t>
            </w:r>
          </w:p>
        </w:tc>
      </w:tr>
      <w:tr>
        <w:tc>
          <w:tcPr>
            <w:tcW w:w="1948" w:type="dxa"/>
            <w:shd w:val="clear" w:color="auto" w:fill="E3E3E3"/>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17</w:t>
            </w:r>
          </w:p>
        </w:tc>
        <w:tc>
          <w:tcPr>
            <w:tcW w:w="5289" w:type="dxa"/>
            <w:shd w:val="clear" w:color="auto" w:fill="E3E3E3"/>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This post needs to meet the requirement of the Baseline Personal Security Standard</w:t>
            </w:r>
          </w:p>
        </w:tc>
        <w:tc>
          <w:tcPr>
            <w:tcW w:w="2951" w:type="dxa"/>
            <w:shd w:val="clear" w:color="auto" w:fill="E3E3E3"/>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Application</w:t>
            </w:r>
          </w:p>
        </w:tc>
      </w:tr>
      <w:tr>
        <w:tc>
          <w:tcPr>
            <w:tcW w:w="1948"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18</w:t>
            </w:r>
          </w:p>
        </w:tc>
        <w:tc>
          <w:tcPr>
            <w:tcW w:w="5289"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This post is subject to the council’s policy on pecuniary and personal interest</w:t>
            </w:r>
          </w:p>
        </w:tc>
        <w:tc>
          <w:tcPr>
            <w:tcW w:w="2951"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Application</w:t>
            </w:r>
          </w:p>
        </w:tc>
      </w:tr>
    </w:tbl>
    <w:p>
      <w:pPr>
        <w:pStyle w:val="Heading 2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Our accreditations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Our accreditations include: the Healthy Workplace award; Timewise; London Living Wage Employer; Disability Confident Committed; The Mayor’s Good Work Standard; Stonewall Diversity Champion; and Time to Change.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color w:val="2B579A"/>
          <w:shd w:val="clear" w:color="auto" w:fill="E6E6E6"/>
          <w:lang w:val="en-GB" w:eastAsia="en-GB" w:bidi="en-GB"/>
        </w:rPr>
        <w:drawing>
          <wp:inline distT="0" distB="0" distL="0" distR="0">
            <wp:extent cx="6520815" cy="703580"/>
            <wp:docPr id="2" name="Picture 704990482"/>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8"/>
                    <a:stretch>
                      <a:fillRect/>
                    </a:stretch>
                  </pic:blipFill>
                  <pic:spPr>
                    <a:xfrm>
                      <a:off x="0" y="0"/>
                      <a:ext cx="6520815" cy="70358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sectPr>
      <w:headerReference w:type="first" r:id="rId00009"/>
      <w:footerReference w:type="first" r:id="rId00010"/>
      <w:pgSz w:w="11900" w:h="16840"/>
      <w:pgMar w:top="2098" w:right="851" w:bottom="851" w:left="851" w:header="709" w:footer="709"/>
      <w:titlePg/>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ahoma">
    <w:panose1 w:val="020B0604030504040204"/>
    <w:charset w:val="00"/>
    <w:family w:val="swiss"/>
    <w:pitch w:val="variable"/>
    <w:sig w:usb0="E1002EFF" w:usb1="C000605B" w:usb2="00000029" w:usb3="00000000" w:csb0="200101FF" w:csb1="20280000"/>
  </w:font>
</w:fonts>
</file>

<file path=word/footer0001_first.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ftr>
</file>

<file path=word/header0001_first.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clear" w:pos="4513"/>
        <w:tab w:val="left" w:pos="6165"/>
        <w:tab w:val="left" w:pos="7716"/>
        <w:tab w:val="left" w:pos="8328"/>
        <w:tab w:val="left" w:pos="8640"/>
        <w:tab w:val="clear" w:pos="9026"/>
        <w:tab w:val="left" w:pos="9360"/>
        <w:tab w:val="left" w:pos="10080"/>
        <w:tab w:val="left" w:pos="10800"/>
        <w:tab w:val="left" w:pos="11520"/>
        <w:tab w:val="left" w:pos="12240"/>
        <w:tab w:val="left" w:pos="12960"/>
        <w:tab w:val="left" w:pos="13680"/>
        <w:tab w:val="left" w:pos="14400"/>
        <w:tab w:val="left" w:pos="15120"/>
        <w:tab w:val="left" w:pos="15840"/>
      </w:tabs>
      <w:rPr>
        <w:lang w:val="en-GB" w:eastAsia="en-GB" w:bidi="en-GB"/>
      </w:rPr>
    </w:pPr>
    <w:r>
      <w:drawing>
        <wp:anchor distT="0" distB="0" distL="114300" distR="114300" simplePos="0" relativeHeight="251659264" behindDoc="1" locked="0" layoutInCell="1" hidden="0" allowOverlap="1">
          <wp:simplePos x="0" y="0"/>
          <wp:positionH relativeFrom="page">
            <wp:posOffset>0</wp:posOffset>
          </wp:positionH>
          <wp:positionV relativeFrom="page">
            <wp:posOffset>3175</wp:posOffset>
          </wp:positionV>
          <wp:extent cx="7551420" cy="1036320"/>
          <wp:wrapNone/>
          <wp:docPr id="1" name="Picture 1"/>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7">
                    <a:extLst>
                      <a:ext uri="{96DAC541-7B7A-43D3-8B79-37D633B846F1}">
                        <asvg:svgBlip xmlns:asvg="http://schemas.microsoft.com/office/drawing/2016/SVG/main" r:embed="rId00006"/>
                      </a:ext>
                    </a:extLst>
                  </a:blip>
                  <a:stretch>
                    <a:fillRect/>
                  </a:stretch>
                </pic:blipFill>
                <pic:spPr>
                  <a:xfrm>
                    <a:off x="0" y="0"/>
                    <a:ext cx="7551420" cy="1036320"/>
                  </a:xfrm>
                  <a:prstGeom prst="rect">
                    <a:avLst/>
                  </a:prstGeom>
                </pic:spPr>
              </pic:pic>
            </a:graphicData>
          </a:graphic>
        </wp:anchor>
      </w:drawing>
    </w:r>
    <w:r>
      <w:rPr>
        <w:lang w:val="en-GB" w:eastAsia="en-GB" w:bidi="en-GB"/>
      </w:rPr>
      <w:t xml:space="preserve">			</w:t>
    </w:r>
  </w:p>
</w:hdr>
</file>

<file path=word/numbering.xml><?xml version="1.0" encoding="utf-8"?>
<w:numbering xmlns:w="http://schemas.openxmlformats.org/wordprocessingml/2006/main">
  <w:abstractNum w:abstractNumId="0">
    <w:multiLevelType w:val="singleLevel"/>
    <w:lvl w:ilvl="0">
      <w:start w:val="1"/>
      <w:numFmt w:val="bullet"/>
      <w:pStyle w:val="Bullets (Islington)"/>
      <w:suff w:val="tab"/>
      <w:lvlText w:val=""/>
      <w:pPr>
        <w:ind w:left="567" w:hanging="283"/>
        <w:tabs>
          <w:tab w:val="num" w:pos="567"/>
        </w:tabs>
      </w:pPr>
      <w:rPr>
        <w:rFonts w:hint="default" w:ascii="Symbol" w:hAnsi="Symbol" w:eastAsia="Symbol" w:cs="Symbol"/>
        <w:b w:val="off"/>
        <w:i w:val="off"/>
        <w:strike w:val="off"/>
        <w:color w:val="auto"/>
        <w:position w:val="0"/>
        <w:sz w:val="24"/>
        <w:u w:val="none"/>
        <w:shd w:val="clear" w:color="auto" w:fill="auto"/>
      </w:rPr>
    </w:lvl>
  </w:abstractNum>
  <w:abstractNum w:abstractNumId="1">
    <w:multiLevelType w:val="singleLevel"/>
    <w:lvl w:ilvl="0">
      <w:start w:val="1"/>
      <w:numFmt w:val="bullet"/>
      <w:suff w:val="tab"/>
      <w:lvlText w:val=""/>
      <w:pPr>
        <w:ind w:left="568" w:hanging="284"/>
        <w:tabs>
          <w:tab w:val="num" w:pos="568"/>
        </w:tabs>
      </w:pPr>
      <w:rPr>
        <w:rFonts w:hint="default" w:ascii="Symbol" w:hAnsi="Symbol" w:eastAsia="Symbol" w:cs="Symbol"/>
        <w:b w:val="off"/>
        <w:i w:val="off"/>
        <w:strike w:val="off"/>
        <w:color w:val="auto"/>
        <w:position w:val="0"/>
        <w:sz w:val="24"/>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abstractNum w:abstractNumId="3">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5"/>
        <w:u w:val="none"/>
        <w:shd w:val="clear" w:color="auto" w:fill="auto"/>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Pr>
      <w:sz w:val="20"/>
      <w:szCs w:val="20"/>
      <w:lang w:val="en-GB" w:eastAsia="en-GB" w:bidi="en-GB"/>
    </w:rPr>
  </w:style>
  <w:style w:type="paragraph" w:styleId="Normal">
    <w:name w:val="Normal"/>
    <w:next w:val="Normal"/>
    <w:qFormat/>
    <w:pPr>
      <w:widowControl w:val="on"/>
      <w:shd w:val="clear" w:color="auto" w:fill="auto"/>
      <w:spacing w:before="240" w:after="120" w:line="240" w:lineRule="auto"/>
      <w:ind w:left="0" w:right="0" w:firstLine="0"/>
      <w:jc w:val="left"/>
      <w:outlineLvl w:val="9"/>
    </w:pPr>
    <w:rPr>
      <w:rFonts w:ascii="Arial" w:hAnsi="Arial" w:eastAsia="Arial" w:cs="Arial"/>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paragraph" w:styleId="Footer">
    <w:name w:val="footer"/>
    <w:basedOn w:val="Normal"/>
    <w:next w:val="Footer"/>
    <w:qFormat/>
    <w:pPr>
      <w:tabs>
        <w:tab w:val="center" w:pos="4513"/>
        <w:tab w:val="right" w:pos="9026"/>
      </w:tabs>
    </w:pPr>
    <w:rPr>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Bullets (Islington)" w:customStyle="1">
    <w:name w:val="Bullets (Islington)"/>
    <w:basedOn w:val="ListParagraph"/>
    <w:next w:val="Bullets (Islington)"/>
    <w:qFormat/>
    <w:pPr>
      <w:numPr>
        <w:ilvl w:val="0"/>
        <w:numId w:val="1"/>
      </w:numPr>
      <w:ind w:left="567" w:hanging="283"/>
    </w:pPr>
    <w:rPr>
      <w:lang w:val="en-GB" w:eastAsia="en-GB" w:bidi="en-GB"/>
    </w:rPr>
  </w:style>
  <w:style w:type="paragraph" w:styleId="Heading2">
    <w:name w:val="heading 2"/>
    <w:basedOn w:val="Normal"/>
    <w:next w:val="Normal"/>
    <w:qFormat/>
    <w:pPr>
      <w:outlineLvl w:val="1"/>
    </w:pPr>
    <w:rPr>
      <w:b/>
      <w:bCs/>
      <w:lang w:val="en-GB" w:eastAsia="en-GB" w:bidi="en-GB"/>
    </w:rPr>
  </w:style>
  <w:style w:type="paragraph" w:styleId="Heading 2 (Islington)" w:customStyle="1">
    <w:name w:val="Heading 2 (Islington)"/>
    <w:basedOn w:val="Heading2"/>
    <w:next w:val="Body text (Islington)"/>
    <w:qFormat/>
    <w:pPr/>
    <w:rPr>
      <w:b w:val="off"/>
      <w:bCs w:val="off"/>
      <w:sz w:val="40"/>
      <w:szCs w:val="40"/>
      <w:lang w:val="en-GB" w:eastAsia="en-GB" w:bidi="en-GB"/>
    </w:rPr>
  </w:style>
  <w:style w:type="character" w:styleId="eop" w:customStyle="1">
    <w:name w:val="eop"/>
    <w:qFormat/>
    <w:rPr>
      <w:rtl w:val="off"/>
    </w:rPr>
  </w:style>
  <w:style w:type="paragraph" w:styleId="Heading3">
    <w:name w:val="heading 3"/>
    <w:basedOn w:val="Normal"/>
    <w:next w:val="Normal"/>
    <w:qFormat/>
    <w:pPr>
      <w:keepNext/>
      <w:keepLines/>
      <w:spacing w:before="40" w:after="0"/>
      <w:outlineLvl w:val="2"/>
    </w:pPr>
    <w:rPr>
      <w:color w:val="134223"/>
      <w:lang w:val="en-GB" w:eastAsia="en-GB" w:bidi="en-GB"/>
    </w:rPr>
  </w:style>
  <w:style w:type="paragraph" w:styleId="Heading 3 (Islington)" w:customStyle="1">
    <w:name w:val="Heading 3 (Islington)"/>
    <w:basedOn w:val="Heading3"/>
    <w:next w:val="Body text (Islington)"/>
    <w:qFormat/>
    <w:pPr>
      <w:spacing w:before="240" w:after="120"/>
    </w:pPr>
    <w:rPr>
      <w:color w:val="000000"/>
      <w:sz w:val="32"/>
      <w:szCs w:val="32"/>
      <w:lang w:val="en-GB" w:eastAsia="en-GB" w:bidi="en-GB"/>
    </w:rPr>
  </w:style>
  <w:style w:type="paragraph" w:styleId="Heading4">
    <w:name w:val="heading 4"/>
    <w:basedOn w:val="Normal"/>
    <w:next w:val="Normal"/>
    <w:qFormat/>
    <w:pPr>
      <w:keepNext/>
      <w:keepLines/>
      <w:spacing w:before="40" w:after="0"/>
      <w:outlineLvl w:val="3"/>
    </w:pPr>
    <w:rPr>
      <w:i/>
      <w:iCs/>
      <w:color w:val="1D6435"/>
      <w:lang w:val="en-GB" w:eastAsia="en-GB" w:bidi="en-GB"/>
    </w:rPr>
  </w:style>
  <w:style w:type="paragraph" w:styleId="Heading 4 (Islington)" w:customStyle="1">
    <w:name w:val="Heading 4 (Islington)"/>
    <w:basedOn w:val="Heading4"/>
    <w:next w:val="Body text (Islington)"/>
    <w:qFormat/>
    <w:pPr>
      <w:spacing w:before="240" w:after="120"/>
    </w:pPr>
    <w:rPr>
      <w:b/>
      <w:bCs/>
      <w:i w:val="off"/>
      <w:iCs w:val="off"/>
      <w:color w:val="000000"/>
      <w:lang w:val="en-GB" w:eastAsia="en-GB" w:bidi="en-GB"/>
    </w:rPr>
  </w:style>
  <w:style w:type="paragraph" w:styleId="Heading1">
    <w:name w:val="heading 1"/>
    <w:basedOn w:val="Normal"/>
    <w:next w:val="Normal"/>
    <w:qFormat/>
    <w:pPr>
      <w:outlineLvl w:val="0"/>
    </w:pPr>
    <w:rPr>
      <w:b/>
      <w:bCs/>
      <w:color w:val="288647"/>
      <w:sz w:val="28"/>
      <w:szCs w:val="28"/>
      <w:lang w:val="en-GB" w:eastAsia="en-GB" w:bidi="en-GB"/>
    </w:rPr>
  </w:style>
  <w:style w:type="paragraph" w:styleId="Heading 1 (Islington)" w:customStyle="1">
    <w:name w:val="Heading 1 (Islington)"/>
    <w:basedOn w:val="Heading1"/>
    <w:next w:val="Body text (Islington)"/>
    <w:qFormat/>
    <w:pPr/>
    <w:rPr>
      <w:b w:val="off"/>
      <w:bCs w:val="off"/>
      <w:sz w:val="48"/>
      <w:szCs w:val="48"/>
      <w:lang w:val="en-GB" w:eastAsia="en-GB" w:bidi="en-GB"/>
    </w:rPr>
  </w:style>
  <w:style w:type="paragraph" w:styleId="Heading5">
    <w:name w:val="heading 5"/>
    <w:basedOn w:val="Normal"/>
    <w:next w:val="Normal"/>
    <w:qFormat/>
    <w:pPr>
      <w:keepNext/>
      <w:keepLines/>
      <w:spacing w:before="40" w:after="0"/>
      <w:outlineLvl w:val="4"/>
    </w:pPr>
    <w:rPr>
      <w:color w:val="1D6435"/>
      <w:lang w:val="en-GB" w:eastAsia="en-GB" w:bidi="en-GB"/>
    </w:rPr>
  </w:style>
  <w:style w:type="paragraph" w:styleId="Heading 5 (Islington)" w:customStyle="1">
    <w:name w:val="Heading 5 (Islington)"/>
    <w:basedOn w:val="Heading5"/>
    <w:next w:val="Body text (Islington)"/>
    <w:qFormat/>
    <w:pPr>
      <w:spacing w:before="240" w:after="120"/>
    </w:pPr>
    <w:rPr>
      <w:lang w:val="en-GB" w:eastAsia="en-GB" w:bidi="en-GB"/>
    </w:rPr>
  </w:style>
  <w:style w:type="paragraph" w:styleId="Heading6">
    <w:name w:val="heading 6"/>
    <w:basedOn w:val="Normal"/>
    <w:next w:val="Normal"/>
    <w:qFormat/>
    <w:pPr>
      <w:keepNext/>
      <w:keepLines/>
      <w:spacing w:before="40" w:after="0"/>
      <w:outlineLvl w:val="5"/>
    </w:pPr>
    <w:rPr>
      <w:color w:val="134223"/>
      <w:lang w:val="en-GB" w:eastAsia="en-GB" w:bidi="en-GB"/>
    </w:rPr>
  </w:style>
  <w:style w:type="paragraph" w:styleId="Heading 6 (Islington)" w:customStyle="1">
    <w:name w:val="Heading 6 (Islington)"/>
    <w:basedOn w:val="Heading6"/>
    <w:next w:val="Body text (Islington)"/>
    <w:qFormat/>
    <w:pPr>
      <w:spacing w:before="240" w:after="120"/>
    </w:pPr>
    <w:rPr>
      <w:color w:val="3A3A3A"/>
      <w:lang w:val="en-GB" w:eastAsia="en-GB" w:bidi="en-GB"/>
    </w:rPr>
  </w:style>
  <w:style w:type="character" w:styleId="Header Char" w:customStyle="1">
    <w:name w:val="Header Char"/>
    <w:qFormat/>
    <w:rPr>
      <w:rtl w:val="off"/>
    </w:rPr>
  </w:style>
  <w:style w:type="character" w:styleId="Footer Char" w:customStyle="1">
    <w:name w:val="Footer Char"/>
    <w:qFormat/>
    <w:rPr>
      <w:rtl w:val="off"/>
    </w:rPr>
  </w:style>
  <w:style w:type="character" w:styleId="Heading 1 Char" w:customStyle="1">
    <w:name w:val="Heading 1 Char"/>
    <w:qFormat/>
    <w:rPr>
      <w:b/>
      <w:bCs/>
      <w:color w:val="288647"/>
      <w:sz w:val="28"/>
      <w:szCs w:val="28"/>
      <w:rtl w:val="off"/>
    </w:rPr>
  </w:style>
  <w:style w:type="character" w:styleId="Heading 2 Char" w:customStyle="1">
    <w:name w:val="Heading 2 Char"/>
    <w:qFormat/>
    <w:rPr>
      <w:b/>
      <w:bCs/>
      <w:rtl w:val="off"/>
    </w:rPr>
  </w:style>
  <w:style w:type="character" w:styleId="Strong">
    <w:name w:val="Strong"/>
    <w:qFormat/>
    <w:rPr>
      <w:b/>
      <w:bCs/>
      <w:rtl w:val="off"/>
    </w:rPr>
  </w:style>
  <w:style w:type="character" w:styleId="Hyperlink">
    <w:name w:val="Hyperlink"/>
    <w:qFormat/>
    <w:rPr>
      <w:color w:val="0070C0"/>
      <w:u w:val="single"/>
      <w:rtl w:val="off"/>
    </w:rPr>
  </w:style>
  <w:style w:type="character" w:styleId="Unresolved Mention1" w:customStyle="1">
    <w:name w:val="Unresolved Mention1"/>
    <w:qFormat/>
    <w:rPr>
      <w:color w:val="605E5C"/>
      <w:shd w:val="clear" w:color="auto" w:fill="E1DFDD"/>
      <w:rtl w:val="off"/>
    </w:rPr>
  </w:style>
  <w:style w:type="character" w:styleId="FollowedHyperlink">
    <w:name w:val="FollowedHyperlink"/>
    <w:qFormat/>
    <w:rPr>
      <w:color w:val="59348B"/>
      <w:u w:val="single"/>
      <w:rtl w:val="off"/>
    </w:rPr>
  </w:style>
  <w:style w:type="character" w:styleId="HTMLAcronym">
    <w:name w:val="HTML Acronym"/>
    <w:qFormat/>
    <w:rPr>
      <w:rtl w:val="off"/>
    </w:rPr>
  </w:style>
  <w:style w:type="character" w:styleId="Heading 3 Char" w:customStyle="1">
    <w:name w:val="Heading 3 Char"/>
    <w:qFormat/>
    <w:rPr>
      <w:rFonts w:ascii="Arial" w:hAnsi="Arial" w:eastAsia="Arial" w:cs="Arial"/>
      <w:color w:val="134223"/>
      <w:rtl w:val="off"/>
      <w:lang w:val="en-GB" w:eastAsia="en-GB" w:bidi="en-GB"/>
    </w:rPr>
  </w:style>
  <w:style w:type="character" w:styleId="Heading 4 Char" w:customStyle="1">
    <w:name w:val="Heading 4 Char"/>
    <w:qFormat/>
    <w:rPr>
      <w:rFonts w:ascii="Arial" w:hAnsi="Arial" w:eastAsia="Arial" w:cs="Arial"/>
      <w:i/>
      <w:iCs/>
      <w:color w:val="1D6435"/>
      <w:rtl w:val="off"/>
      <w:lang w:val="en-GB" w:eastAsia="en-GB" w:bidi="en-GB"/>
    </w:rPr>
  </w:style>
  <w:style w:type="character" w:styleId="Heading 6 Char" w:customStyle="1">
    <w:name w:val="Heading 6 Char"/>
    <w:qFormat/>
    <w:rPr>
      <w:rFonts w:ascii="Arial" w:hAnsi="Arial" w:eastAsia="Arial" w:cs="Arial"/>
      <w:color w:val="134223"/>
      <w:rtl w:val="off"/>
      <w:lang w:val="en-GB" w:eastAsia="en-GB" w:bidi="en-GB"/>
    </w:rPr>
  </w:style>
  <w:style w:type="character" w:styleId="Heading 5 Char" w:customStyle="1">
    <w:name w:val="Heading 5 Char"/>
    <w:qFormat/>
    <w:rPr>
      <w:rFonts w:ascii="Arial" w:hAnsi="Arial" w:eastAsia="Arial" w:cs="Arial"/>
      <w:color w:val="1D6435"/>
      <w:rtl w:val="off"/>
      <w:lang w:val="en-GB" w:eastAsia="en-GB" w:bidi="en-GB"/>
    </w:rPr>
  </w:style>
  <w:style w:type="paragraph" w:styleId="Title">
    <w:name w:val="Title"/>
    <w:basedOn w:val="Normal"/>
    <w:next w:val="Normal"/>
    <w:qFormat/>
    <w:pPr>
      <w:spacing w:before="0" w:after="0"/>
    </w:pPr>
    <w:rPr>
      <w:spacing w:val="-10"/>
      <w:sz w:val="56"/>
      <w:szCs w:val="56"/>
      <w:lang w:val="en-GB" w:eastAsia="en-GB" w:bidi="en-GB"/>
    </w:rPr>
  </w:style>
  <w:style w:type="paragraph" w:styleId="Title (Islington)" w:customStyle="1">
    <w:name w:val="Title (Islington)"/>
    <w:basedOn w:val="Title"/>
    <w:next w:val="Title (Islington)"/>
    <w:qFormat/>
    <w:pPr/>
    <w:rPr>
      <w:color w:val="288647"/>
      <w:spacing w:val="-10"/>
      <w:sz w:val="64"/>
      <w:szCs w:val="64"/>
      <w:lang w:val="en-GB" w:eastAsia="en-GB" w:bidi="en-GB"/>
    </w:rPr>
  </w:style>
  <w:style w:type="character" w:styleId="Title Char" w:customStyle="1">
    <w:name w:val="Title Char"/>
    <w:qFormat/>
    <w:rPr>
      <w:rFonts w:ascii="Arial" w:hAnsi="Arial" w:eastAsia="Arial" w:cs="Arial"/>
      <w:spacing w:val="-10"/>
      <w:sz w:val="56"/>
      <w:szCs w:val="56"/>
      <w:rtl w:val="off"/>
      <w:lang w:val="en-GB" w:eastAsia="en-GB" w:bidi="en-GB"/>
    </w:rPr>
  </w:style>
  <w:style w:type="character" w:styleId="Title (Islington) Char" w:customStyle="1">
    <w:name w:val="Title (Islington) Char"/>
    <w:basedOn w:val="Title Char"/>
    <w:qFormat/>
    <w:rPr>
      <w:rFonts w:ascii="Arial" w:hAnsi="Arial" w:eastAsia="Arial" w:cs="Arial"/>
      <w:color w:val="288647"/>
      <w:spacing w:val="-10"/>
      <w:sz w:val="64"/>
      <w:szCs w:val="64"/>
      <w:lang w:val="en-GB" w:eastAsia="en-GB" w:bidi="en-GB"/>
    </w:rPr>
  </w:style>
  <w:style w:type="character" w:styleId="UnresolvedMention">
    <w:name w:val="Unresolved Mention"/>
    <w:qFormat/>
    <w:rPr>
      <w:color w:val="605E5C"/>
      <w:shd w:val="clear" w:color="auto" w:fill="E1DFDD"/>
      <w:rtl w:val="off"/>
    </w:rPr>
  </w:style>
  <w:style w:type="paragraph" w:styleId="paragraph" w:customStyle="1">
    <w:name w:val="paragraph"/>
    <w:basedOn w:val="Normal"/>
    <w:next w:val="paragraph"/>
    <w:qFormat/>
    <w:pPr>
      <w:spacing w:before="0" w:after="0"/>
    </w:pPr>
    <w:rPr>
      <w:rFonts w:ascii="Times New Roman" w:hAnsi="Times New Roman" w:eastAsia="Times New Roman" w:cs="Times New Roman"/>
      <w:lang w:val="en-GB" w:eastAsia="en-GB" w:bidi="en-GB"/>
    </w:rPr>
  </w:style>
  <w:style w:type="character" w:styleId="normaltextrun" w:customStyle="1">
    <w:name w:val="normaltextrun"/>
    <w:qFormat/>
    <w:rPr>
      <w:rtl w:val="off"/>
    </w:rPr>
  </w:style>
  <w:style w:type="character" w:styleId="Mention">
    <w:name w:val="Mention"/>
    <w:qFormat/>
    <w:rPr>
      <w:color w:val="2B579A"/>
      <w:shd w:val="clear" w:color="auto" w:fill="E6E6E6"/>
      <w:rtl w:val="off"/>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customStyle="1">
    <w:name w:val="Comment Text Char"/>
    <w:qFormat/>
    <w:rPr>
      <w:sz w:val="20"/>
      <w:szCs w:val="20"/>
      <w:rtl w:val="off"/>
      <w:lang w:val="en-GB" w:eastAsia="en-GB" w:bidi="en-GB"/>
    </w:rPr>
  </w:style>
  <w:style w:type="character" w:styleId="Comment Subject Char" w:customStyle="1">
    <w:name w:val="Comment Subject Char"/>
    <w:basedOn w:val="Comment Text Char"/>
    <w:qFormat/>
    <w:rPr>
      <w:b/>
      <w:bCs/>
      <w:sz w:val="20"/>
      <w:szCs w:val="20"/>
      <w:lang w:val="en-GB" w:eastAsia="en-GB" w:bidi="en-GB"/>
    </w:rPr>
  </w:style>
  <w:style w:type="character" w:styleId="CommentReference">
    <w:name w:val="annotation reference"/>
    <w:qFormat/>
    <w:rPr>
      <w:sz w:val="16"/>
      <w:szCs w:val="16"/>
      <w:rtl w:val="off"/>
    </w:rPr>
  </w:style>
  <w:style w:type="paragraph" w:styleId="Body text (Islington)" w:customStyle="1">
    <w:name w:val="Body text (Islington)"/>
    <w:basedOn w:val="[Normal]"/>
    <w:next w:val="Body text (Islingt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after="240"/>
    </w:pPr>
    <w:rPr>
      <w:sz w:val="24"/>
      <w:szCs w:val="24"/>
      <w:lang w:val="en-GB" w:eastAsia="en-GB" w:bidi="en-GB"/>
    </w:rPr>
  </w:style>
  <w:style w:type="paragraph" w:styleId="Quote (Islington)" w:customStyle="1">
    <w:name w:val="Quote (Islington)"/>
    <w:basedOn w:val="Body text (Islington)"/>
    <w:next w:val="Quote (Islington)"/>
    <w:qFormat/>
    <w:pPr>
      <w:ind w:left="567" w:right="567"/>
    </w:pPr>
    <w:rPr>
      <w:color w:val="767676"/>
      <w:sz w:val="28"/>
      <w:szCs w:val="28"/>
      <w:lang w:val="en-GB" w:eastAsia="en-GB" w:bidi="en-GB"/>
    </w:rPr>
  </w:style>
  <w:style w:type="paragraph" w:styleId="NoSpacing">
    <w:name w:val="No Spacing"/>
    <w:basedOn w:val="[Normal]"/>
    <w:next w:val="NoSpacing"/>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4"/>
      <w:szCs w:val="24"/>
      <w:lang w:val="en-GB" w:eastAsia="en-GB" w:bidi="en-GB"/>
    </w:rPr>
  </w:style>
  <w:style w:type="paragraph" w:styleId="Revision">
    <w:name w:val="Revision"/>
    <w:basedOn w:val="[Normal]"/>
    <w:next w:val="Revisi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4"/>
      <w:szCs w:val="24"/>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9" Type="http://schemas.openxmlformats.org/officeDocument/2006/relationships/header" Target="header0001_first.xml"/>
	<Relationship Id="rId00010" Type="http://schemas.openxmlformats.org/officeDocument/2006/relationships/footer" Target="footer0001_first.xml"/>
	<Relationship Id="rId00008" Type="http://schemas.openxmlformats.org/officeDocument/2006/relationships/image" Target="media/image0003.png"/>
	<Relationship Id="rId00011" Type="http://schemas.openxmlformats.org/officeDocument/2006/relationships/numbering" Target="numbering.xml"/>
	<Relationship Id="rId00012" Type="http://schemas.openxmlformats.org/officeDocument/2006/relationships/fontTable" Target="fontTable.xml"/>
	<Relationship Id="rId00013" Type="http://schemas.openxmlformats.org/officeDocument/2006/relationships/settings" Target="settings.xml"/>
</Relationships>
</file>

<file path=word/_rels/header0001_first.xml.rels><?xml version="1.0" encoding="UTF-8" standalone="yes"?><Relationships xmlns="http://schemas.openxmlformats.org/package/2006/relationships">
	<Relationship Id="rId00006" Type="http://schemas.openxmlformats.org/officeDocument/2006/relationships/image" Target="media/image0001.svg"/>
	<Relationship Id="rId00007" Type="http://schemas.openxmlformats.org/officeDocument/2006/relationships/image" Target="media/image0002.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creator>Shepherd, Alexandra</dc:creator>
  <dcterms:created xsi:type="dcterms:W3CDTF">2025-11-25T16:05:00Z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s Type">
    <vt:lpwstr>244;#Staff communications|14d85b48-235e-4a61-8095-7517fc1a56f2</vt:lpwstr>
  </property>
  <property fmtid="{D5CDD505-2E9C-101B-9397-08002B2CF9AE}" pid="3" name="Owning TeamTaxHTField0">
    <vt:lpwstr>Communication and Change Publishing Team|058b8a09-0bcd-451e-8d47-afc69d8be651</vt:lpwstr>
  </property>
  <property fmtid="{D5CDD505-2E9C-101B-9397-08002B2CF9AE}" pid="4" name="Involved Teams">
    <vt:lpwstr>1528;#Communication and Change Publishing Team|058b8a09-0bcd-451e-8d47-afc69d8be651</vt:lpwstr>
  </property>
  <property fmtid="{D5CDD505-2E9C-101B-9397-08002B2CF9AE}" pid="5" name="Involved TeamsTaxHTField0">
    <vt:lpwstr>Communication and Change Publishing Team|058b8a09-0bcd-451e-8d47-afc69d8be651</vt:lpwstr>
  </property>
  <property fmtid="{D5CDD505-2E9C-101B-9397-08002B2CF9AE}" pid="6" name="Records TypeTaxHTField0">
    <vt:lpwstr>Staff communications|14d85b48-235e-4a61-8095-7517fc1a56f2</vt:lpwstr>
  </property>
  <property fmtid="{D5CDD505-2E9C-101B-9397-08002B2CF9AE}" pid="7" name="FunctionalArea">
    <vt:lpwstr>5;#Communications|39e3c23f-dc56-4aba-86a2-372111e6b9b8</vt:lpwstr>
  </property>
  <property fmtid="{D5CDD505-2E9C-101B-9397-08002B2CF9AE}" pid="8" name="ProtectiveZone">
    <vt:lpwstr>Protected</vt:lpwstr>
  </property>
  <property fmtid="{D5CDD505-2E9C-101B-9397-08002B2CF9AE}" pid="9" name="ContentTypeId">
    <vt:lpwstr>0x010100CD165B9E46142848A777D236ED0C4B90</vt:lpwstr>
  </property>
  <property fmtid="{D5CDD505-2E9C-101B-9397-08002B2CF9AE}" pid="10" name="OriginalFilename">
    <vt:lpwstr>General document.dotx</vt:lpwstr>
  </property>
  <property fmtid="{D5CDD505-2E9C-101B-9397-08002B2CF9AE}" pid="11" name="Owning Team">
    <vt:lpwstr>1528;#Communication and Change Publishing Team|058b8a09-0bcd-451e-8d47-afc69d8be651</vt:lpwstr>
  </property>
  <property fmtid="{D5CDD505-2E9C-101B-9397-08002B2CF9AE}" pid="12" name="TaxCatchAll">
    <vt:lpwstr>1528;#Communication and Change Publishing Team|058b8a09-0bcd-451e-8d47-afc69d8be651;#5;#Communications|39e3c23f-dc56-4aba-86a2-372111e6b9b8;#244;#Staff communications|14d85b48-235e-4a61-8095-7517fc1a56f2</vt:lpwstr>
  </property>
  <property fmtid="{D5CDD505-2E9C-101B-9397-08002B2CF9AE}" pid="13" name="c96fb2fb72de4de78ba8fe87aa837b5e">
    <vt:lpwstr>Communications|39e3c23f-dc56-4aba-86a2-372111e6b9b8</vt:lpwstr>
  </property>
</Properties>
</file>