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lang w:val="en-GB" w:eastAsia="en-GB" w:bidi="en-GB"/>
        </w:rPr>
        <w:t xml:space="preserve">Post title: </w:t>
      </w:r>
      <w:r>
        <w:rPr>
          <w:b/>
          <w:bCs/>
          <w:lang w:val="en-GB" w:eastAsia="en-GB" w:bidi="en-GB"/>
        </w:rPr>
        <w:t xml:space="preserve">Virtual School Advisory and Support Teacher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Service area: Children Looked 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Grade: PO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Reports to: Virtual School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Your team: Virtual School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Number of supervisees: 0</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ambition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We're determined to make Islington fairer. To create a place where everyone, whatever their background, has the opportunity to reach their potential and enjoy a good quality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also have an ambitious goal – to be the best council in the country</w:t>
      </w:r>
      <w:r>
        <w:rPr>
          <w:b/>
          <w:bCs/>
          <w:lang w:val="en-GB" w:eastAsia="en-GB" w:bidi="en-GB"/>
        </w:rPr>
        <w:t xml:space="preserve"> </w:t>
      </w:r>
      <w:r>
        <w:rPr>
          <w:lang w:val="en-GB" w:eastAsia="en-GB" w:bidi="en-GB"/>
        </w:rPr>
        <w:t xml:space="preserve">– with every employee clear about the part they play and inspired, focused and supported to give their very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want to build an organisation where employees feel valued, inspired and empowered to help us achieve our goals and provide the best services possible to our residents.</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values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‘Be Islington’ is about setting a clear challenge about what it means to be an Islington employee and sets the standard for every new recruit.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ask our employees to ‘Be Islington’ – playing their part in working together for a fairer borough and to always be collaborative, be ambitious, be resourceful, and be empowering (‘CARE’).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commitment to challenging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are committed to tackling inequality, racism and injustice and creating a fairer borough for all. In order to do this, we need to set the example by being a fair employer and creating a workplace environment, which is free from discrimination, racism and inequality. Our approach needs to be proactive, consistently learning to create a fairer workplace and foster a culture, which empowers all staff to challenge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Fairness is at the heart of what we do. We want to celebrate and embrace our differences by:</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Ensuring our workforce is representative of the people we work on behalf of, our residents.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Creating equitable working environments and diverse teams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Understanding our residents to design and deliver services that help tackle inequality and improve life chances for our residents. </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Getting to know people and their differences.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Interpreting issues and concerns from a cultural perspective and address situations or problems from the points-of-view of multiple cultures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Supporting people with long-term health conditions and/or disabilities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Recognising the value of flexible working to support staff where possible.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To take responsibility for promoting and safeguarding the welfare of children and young person’s / vulnerable adults in your care and those who you come into contact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Indent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lang w:val="en-GB" w:eastAsia="en-GB" w:bidi="en-GB"/>
        </w:rPr>
        <w:t xml:space="preserve">Lead on and be responsible for developing and promoting the Virtual School’s extended duty to promote the education of children in kinship care arrangements This includes children who are in kinship foster care, kinship carers who are Special Guardians, kinship carers with a Child Arrangements Order and informal kinship care arrangements.  This is part of the National Kinship Strategy, </w:t>
      </w:r>
      <w:r>
        <w:rPr>
          <w:rStyle w:val="Hyperlink"/>
          <w:lang w:val="en-GB" w:eastAsia="en-GB" w:bidi="en-GB"/>
        </w:rPr>
        <w:fldChar w:fldCharType="begin"/>
      </w:r>
      <w:r>
        <w:rPr>
          <w:rStyle w:val="Hyperlink"/>
          <w:lang w:val="en-GB" w:eastAsia="en-GB" w:bidi="en-GB"/>
        </w:rPr>
        <w:instrText xml:space="preserve"> HYPERLINK "https://www.gov.uk/government/publications/championing-kinship-care-national-kinship-care-strategy" </w:instrText>
      </w:r>
      <w:r>
        <w:rPr>
          <w:rStyle w:val="Hyperlink"/>
          <w:lang w:val="en-GB" w:eastAsia="en-GB" w:bidi="en-GB"/>
        </w:rPr>
        <w:fldChar w:fldCharType="separate"/>
      </w:r>
      <w:r>
        <w:rPr>
          <w:rStyle w:val="Hyperlink"/>
          <w:lang w:val="en-GB" w:eastAsia="en-GB" w:bidi="en-GB"/>
        </w:rPr>
        <w:t xml:space="preserve">Championing kinship care: national kinship care strategy - GOV.UK (www.gov.uk)</w:t>
      </w:r>
      <w:r>
        <w:rPr>
          <w:lang w:val="en-GB" w:eastAsia="en-GB" w:bidi="en-GB"/>
        </w:rPr>
        <w:fldChar w:fldCharType="end"/>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Indent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lang w:val="en-GB" w:eastAsia="en-GB" w:bidi="en-GB"/>
        </w:rPr>
        <w:t xml:space="preserve">Raise the visibility of the distinct needs of children in different types of kinship care arrangements and the disadvantage that they can experience.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Indent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lang w:val="en-GB" w:eastAsia="en-GB" w:bidi="en-GB"/>
        </w:rPr>
        <w:t xml:space="preserve">Promote practice that supports attendance and engagement in education.</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Indent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lang w:val="en-GB" w:eastAsia="en-GB" w:bidi="en-GB"/>
        </w:rPr>
        <w:t xml:space="preserve">Promote practice that improves children in kinship care’s outcomes to narrow the attainment gap, so that every child has the opportunity to reach their full potential.</w:t>
      </w:r>
    </w:p>
    <w:p>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lang w:val="en-GB" w:eastAsia="en-GB" w:bidi="en-GB"/>
        </w:rPr>
      </w:pPr>
    </w:p>
    <w:p>
      <w:pPr>
        <w:pStyle w:val="BodyTextIndent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lang w:val="en-GB" w:eastAsia="en-GB" w:bidi="en-GB"/>
        </w:rPr>
        <w:t xml:space="preserve">To lead on the development procedures and good proactive to ensure that children in kinship foster carer have an effective and up to date Personal Education Plans (PEPs) in line with statutory obligations.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GB" w:eastAsia="en-GB" w:bidi="en-GB"/>
        </w:rPr>
        <w:t xml:space="preserve">Support schools to ensure the effective use of Pupil Premium Grant for individual pupils and cohorts of Islington children in kinship care.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ahoma" w:hAnsi="Tahoma" w:eastAsia="Tahoma" w:cs="Tahoma"/>
          <w:lang w:val="en-GB" w:eastAsia="en-GB" w:bidi="en-GB"/>
        </w:rPr>
      </w:pPr>
      <w:r>
        <w:rPr>
          <w:rFonts w:ascii="Tahoma" w:hAnsi="Tahoma" w:eastAsia="Tahoma" w:cs="Tahoma"/>
          <w:lang w:val="en-GB" w:eastAsia="en-GB" w:bidi="en-GB"/>
        </w:rPr>
        <w:t xml:space="preserve"> Ensure aspirational targets are in place for all Islington children in kinship care and that professionals and carers support and encourage children to achieve, to enjoy learning and to celebrate their achievements.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Indent2"/>
        <w:numPr>
          <w:ilvl w:val="0"/>
          <w:numId w:val="2"/>
        </w:numPr>
        <w:tabs>
          <w:tab w:val="left" w:pos="720"/>
          <w:tab w:val="left" w:pos="20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lang w:val="en-GB" w:eastAsia="en-GB" w:bidi="en-GB"/>
        </w:rPr>
        <w:t xml:space="preserve">Provide high quality advice, support and challenge for school social workers, carers and teachers involved in the education of children in kinship carer to ensure their needs are met and they are provided with appropriate support to achieve their potential. </w:t>
      </w:r>
    </w:p>
    <w:p>
      <w:pPr>
        <w:pStyle w:val="BodyTextIndent2"/>
        <w:tabs>
          <w:tab w:val="left" w:pos="20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0"/>
        <w:rPr>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To monitor and support Islington’s children in kinship care who do not have access to an education placement.  Lead, devise and pursue plans in liaison with key professionals to ensure all such children gain access to education with minimum delay.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Develop effective working relationships with key personnel in Children’s Services and schools in order support and challenge professionals and overcome situations where children are not receiving appropriate education for unnecessary periods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Analyse qualitative and quantitative information and data on all schools and educational placements attended by Islington’s children in public care and kinship care to effectively meet the needs and requirements of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As part of the Virtual School lead and support with the organisation and administration of events such as training sessions, enrichment activities and celebration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To undertake other duties commensurate to the grade of the post.</w:t>
      </w: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sz w:val="22"/>
          <w:szCs w:val="22"/>
          <w:lang w:val="en-GB" w:eastAsia="en-GB" w:bidi="en-GB"/>
        </w:rPr>
      </w:pP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b/>
          <w:bCs/>
          <w:color w:val="000000"/>
          <w:lang w:val="en-GB" w:eastAsia="en-GB" w:bidi="en-GB"/>
        </w:rPr>
        <w:t xml:space="preserve">ADDITIONAL:	 </w:t>
      </w: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lang w:val="en-GB" w:eastAsia="en-GB" w:bidi="en-GB"/>
        </w:rPr>
      </w:pPr>
    </w:p>
    <w:p>
      <w:pPr>
        <w:pStyle w:val="Normal"/>
        <w:numPr>
          <w:ilvl w:val="0"/>
          <w:numId w:val="4"/>
        </w:numPr>
        <w:tabs>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color w:val="000000"/>
          <w:lang w:val="en-GB" w:eastAsia="en-GB" w:bidi="en-GB"/>
        </w:rPr>
        <w:t xml:space="preserve">To take a holistic approach to the needs of children and young people at all times</w:t>
      </w:r>
    </w:p>
    <w:p>
      <w:pPr>
        <w:pStyle w:val="Normal"/>
        <w:tabs>
          <w:tab w:val="left" w:pos="36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lang w:val="en-GB" w:eastAsia="en-GB" w:bidi="en-GB"/>
        </w:rPr>
      </w:pPr>
    </w:p>
    <w:p>
      <w:pPr>
        <w:pStyle w:val="Normal"/>
        <w:numPr>
          <w:ilvl w:val="0"/>
          <w:numId w:val="4"/>
        </w:numPr>
        <w:tabs>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color w:val="000000"/>
          <w:lang w:val="en-GB" w:eastAsia="en-GB" w:bidi="en-GB"/>
        </w:rPr>
        <w:t xml:space="preserve">Work in partnership with other agencies to deliver effective services as part of a multi-agency approach.</w:t>
      </w: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p>
    <w:p>
      <w:pPr>
        <w:pStyle w:val="Normal"/>
        <w:numPr>
          <w:ilvl w:val="0"/>
          <w:numId w:val="4"/>
        </w:numPr>
        <w:tabs>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color w:val="000000"/>
          <w:lang w:val="en-GB" w:eastAsia="en-GB" w:bidi="en-GB"/>
        </w:rPr>
        <w:t xml:space="preserve">To use and assist others in the use of information technology systems to carry out duties in the most efficient and effective manner.</w:t>
      </w: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p>
    <w:p>
      <w:pPr>
        <w:pStyle w:val="Normal"/>
        <w:numPr>
          <w:ilvl w:val="0"/>
          <w:numId w:val="1"/>
        </w:numPr>
        <w:tabs>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lang w:val="en-GB" w:eastAsia="en-GB" w:bidi="en-GB"/>
        </w:rPr>
        <w:t xml:space="preserve">To achieve agreed service outcomes and outputs, and personal appraisal targets, as agreed by the line manager.</w:t>
      </w: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1"/>
        </w:numPr>
        <w:tabs>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lang w:val="en-GB" w:eastAsia="en-GB" w:bidi="en-GB"/>
        </w:rPr>
        <w:t xml:space="preserve">To undertake training and constructively take part in meetings, supervision, seminars and other events designed to improve communication and assist with the effective development of the post and post holder.</w:t>
      </w: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To carry out duties and responsibilities in accordance with the council’s commitment to customer service excellence and ensure compliance with the customer care standards.</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lang w:val="en-GB" w:eastAsia="en-GB" w:bidi="en-GB"/>
        </w:rPr>
      </w:pPr>
    </w:p>
    <w:p>
      <w:pPr>
        <w:pStyle w:val="Normal"/>
        <w:numPr>
          <w:ilvl w:val="0"/>
          <w:numId w:val="1"/>
        </w:numPr>
        <w:tabs>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lang w:val="en-GB" w:eastAsia="en-GB" w:bidi="en-GB"/>
        </w:rPr>
        <w:t xml:space="preserve">To be committed to the Council’s core values of public service, quality, equality and empowerment and to demonstrate this commitment in the way duties are carried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To ensure that duties are undertaken with due regard and compliance with the Data Protection Act and other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To carry out duties and responsibilities in accordance with the Council’s Health and Safety Policy and relevant Health and Safety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At all times to carry out responsibilities/duties within the framework of the Council's Dignity for all Policy. (Equal Opportunities Policy).</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Compliance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Ensure legal, regulatory and policy compliance under GDPR, Health and Safety and in area of your specialism identifying opportunities and risks and escalating where appropriate.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Budget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None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Flexible Frontline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sz w:val="48"/>
          <w:szCs w:val="48"/>
          <w:lang w:val="en-GB" w:eastAsia="en-GB" w:bidi="en-GB"/>
        </w:rPr>
      </w:pPr>
      <w:r>
        <w:rPr>
          <w:lang w:val="en-GB" w:eastAsia="en-GB" w:bidi="en-GB"/>
        </w:rPr>
        <w:br w:type="page"/>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You should demonstrate on your application form how you meet the essential criteria.  Please ensure that you address each of the criteria as this will be assessed to determine your suitability for the post.</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8" w:after="144"/>
        <w:rPr>
          <w:lang w:val="en-GB" w:eastAsia="en-GB" w:bidi="en-GB"/>
        </w:rPr>
      </w:pPr>
      <w:r>
        <w:rPr>
          <w:lang w:val="en-GB" w:eastAsia="en-GB" w:bidi="en-GB"/>
        </w:rPr>
        <w:t xml:space="preserve">Qualifications</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Assessed by</w:t>
            </w:r>
          </w:p>
        </w:tc>
      </w:tr>
      <w:tr>
        <w:trPr>
          <w:trHeight w:val="135"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Qualified Teacher Status or related field working with children and young people in an education setting.</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2</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Degree level 2.2 or above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3</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Demonstrable evidence of high performance and achievement within education or children’s services.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4</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of working with children and young people across the Early Years, statutory school age and post 16 range, including those with Special and Additional Educational Needs and additional needs.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rPr>
          <w:trHeight w:val="70"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5</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Succes</w:t>
            </w:r>
            <w:r>
              <w:rPr>
                <w:spacing w:val="-3"/>
                <w:lang w:val="en-GB" w:eastAsia="en-GB" w:bidi="en-GB"/>
              </w:rPr>
              <w:t xml:space="preserve">s</w:t>
            </w:r>
            <w:r>
              <w:rPr>
                <w:lang w:val="en-GB" w:eastAsia="en-GB" w:bidi="en-GB"/>
              </w:rPr>
              <w:t xml:space="preserve">ful e</w:t>
            </w:r>
            <w:r>
              <w:rPr>
                <w:spacing w:val="-3"/>
                <w:lang w:val="en-GB" w:eastAsia="en-GB" w:bidi="en-GB"/>
              </w:rPr>
              <w:t xml:space="preserve">x</w:t>
            </w:r>
            <w:r>
              <w:rPr>
                <w:lang w:val="en-GB" w:eastAsia="en-GB" w:bidi="en-GB"/>
              </w:rPr>
              <w:t xml:space="preserve">pe</w:t>
            </w:r>
            <w:r>
              <w:rPr>
                <w:spacing w:val="-1"/>
                <w:lang w:val="en-GB" w:eastAsia="en-GB" w:bidi="en-GB"/>
              </w:rPr>
              <w:t xml:space="preserve">ri</w:t>
            </w:r>
            <w:r>
              <w:rPr>
                <w:lang w:val="en-GB" w:eastAsia="en-GB" w:bidi="en-GB"/>
              </w:rPr>
              <w:t xml:space="preserve">ence</w:t>
            </w:r>
            <w:r>
              <w:rPr>
                <w:spacing w:val="-1"/>
                <w:lang w:val="en-GB" w:eastAsia="en-GB" w:bidi="en-GB"/>
              </w:rPr>
              <w:t xml:space="preserve"> </w:t>
            </w:r>
            <w:r>
              <w:rPr>
                <w:spacing w:val="-2"/>
                <w:lang w:val="en-GB" w:eastAsia="en-GB" w:bidi="en-GB"/>
              </w:rPr>
              <w:t xml:space="preserve">o</w:t>
            </w:r>
            <w:r>
              <w:rPr>
                <w:lang w:val="en-GB" w:eastAsia="en-GB" w:bidi="en-GB"/>
              </w:rPr>
              <w:t xml:space="preserve">f fo</w:t>
            </w:r>
            <w:r>
              <w:rPr>
                <w:spacing w:val="-1"/>
                <w:lang w:val="en-GB" w:eastAsia="en-GB" w:bidi="en-GB"/>
              </w:rPr>
              <w:t xml:space="preserve">r</w:t>
            </w:r>
            <w:r>
              <w:rPr>
                <w:spacing w:val="1"/>
                <w:lang w:val="en-GB" w:eastAsia="en-GB" w:bidi="en-GB"/>
              </w:rPr>
              <w:t xml:space="preserve">m</w:t>
            </w:r>
            <w:r>
              <w:rPr>
                <w:lang w:val="en-GB" w:eastAsia="en-GB" w:bidi="en-GB"/>
              </w:rPr>
              <w:t xml:space="preserve">u</w:t>
            </w:r>
            <w:r>
              <w:rPr>
                <w:spacing w:val="-3"/>
                <w:lang w:val="en-GB" w:eastAsia="en-GB" w:bidi="en-GB"/>
              </w:rPr>
              <w:t xml:space="preserve">l</w:t>
            </w:r>
            <w:r>
              <w:rPr>
                <w:lang w:val="en-GB" w:eastAsia="en-GB" w:bidi="en-GB"/>
              </w:rPr>
              <w:t xml:space="preserve">at</w:t>
            </w:r>
            <w:r>
              <w:rPr>
                <w:spacing w:val="-1"/>
                <w:lang w:val="en-GB" w:eastAsia="en-GB" w:bidi="en-GB"/>
              </w:rPr>
              <w:t xml:space="preserve">i</w:t>
            </w:r>
            <w:r>
              <w:rPr>
                <w:lang w:val="en-GB" w:eastAsia="en-GB" w:bidi="en-GB"/>
              </w:rPr>
              <w:t xml:space="preserve">ng</w:t>
            </w:r>
            <w:r>
              <w:rPr>
                <w:spacing w:val="-1"/>
                <w:lang w:val="en-GB" w:eastAsia="en-GB" w:bidi="en-GB"/>
              </w:rPr>
              <w:t xml:space="preserve"> </w:t>
            </w:r>
            <w:r>
              <w:rPr>
                <w:lang w:val="en-GB" w:eastAsia="en-GB" w:bidi="en-GB"/>
              </w:rPr>
              <w:t xml:space="preserve">st</w:t>
            </w:r>
            <w:r>
              <w:rPr>
                <w:spacing w:val="-1"/>
                <w:lang w:val="en-GB" w:eastAsia="en-GB" w:bidi="en-GB"/>
              </w:rPr>
              <w:t xml:space="preserve">r</w:t>
            </w:r>
            <w:r>
              <w:rPr>
                <w:lang w:val="en-GB" w:eastAsia="en-GB" w:bidi="en-GB"/>
              </w:rPr>
              <w:t xml:space="preserve">ate</w:t>
            </w:r>
            <w:r>
              <w:rPr>
                <w:spacing w:val="-2"/>
                <w:lang w:val="en-GB" w:eastAsia="en-GB" w:bidi="en-GB"/>
              </w:rPr>
              <w:t xml:space="preserve">g</w:t>
            </w:r>
            <w:r>
              <w:rPr>
                <w:spacing w:val="-3"/>
                <w:lang w:val="en-GB" w:eastAsia="en-GB" w:bidi="en-GB"/>
              </w:rPr>
              <w:t xml:space="preserve">i</w:t>
            </w:r>
            <w:r>
              <w:rPr>
                <w:lang w:val="en-GB" w:eastAsia="en-GB" w:bidi="en-GB"/>
              </w:rPr>
              <w:t xml:space="preserve">es t</w:t>
            </w:r>
            <w:r>
              <w:rPr>
                <w:spacing w:val="-2"/>
                <w:lang w:val="en-GB" w:eastAsia="en-GB" w:bidi="en-GB"/>
              </w:rPr>
              <w:t xml:space="preserve">h</w:t>
            </w:r>
            <w:r>
              <w:rPr>
                <w:lang w:val="en-GB" w:eastAsia="en-GB" w:bidi="en-GB"/>
              </w:rPr>
              <w:t xml:space="preserve">at c</w:t>
            </w:r>
            <w:r>
              <w:rPr>
                <w:spacing w:val="-1"/>
                <w:lang w:val="en-GB" w:eastAsia="en-GB" w:bidi="en-GB"/>
              </w:rPr>
              <w:t xml:space="preserve">r</w:t>
            </w:r>
            <w:r>
              <w:rPr>
                <w:lang w:val="en-GB" w:eastAsia="en-GB" w:bidi="en-GB"/>
              </w:rPr>
              <w:t xml:space="preserve">oss </w:t>
            </w:r>
            <w:r>
              <w:rPr>
                <w:spacing w:val="-3"/>
                <w:lang w:val="en-GB" w:eastAsia="en-GB" w:bidi="en-GB"/>
              </w:rPr>
              <w:t xml:space="preserve">s</w:t>
            </w:r>
            <w:r>
              <w:rPr>
                <w:lang w:val="en-GB" w:eastAsia="en-GB" w:bidi="en-GB"/>
              </w:rPr>
              <w:t xml:space="preserve">e</w:t>
            </w:r>
            <w:r>
              <w:rPr>
                <w:spacing w:val="-1"/>
                <w:lang w:val="en-GB" w:eastAsia="en-GB" w:bidi="en-GB"/>
              </w:rPr>
              <w:t xml:space="preserve">r</w:t>
            </w:r>
            <w:r>
              <w:rPr>
                <w:spacing w:val="-3"/>
                <w:lang w:val="en-GB" w:eastAsia="en-GB" w:bidi="en-GB"/>
              </w:rPr>
              <w:t xml:space="preserve">v</w:t>
            </w:r>
            <w:r>
              <w:rPr>
                <w:spacing w:val="-1"/>
                <w:lang w:val="en-GB" w:eastAsia="en-GB" w:bidi="en-GB"/>
              </w:rPr>
              <w:t xml:space="preserve">i</w:t>
            </w:r>
            <w:r>
              <w:rPr>
                <w:lang w:val="en-GB" w:eastAsia="en-GB" w:bidi="en-GB"/>
              </w:rPr>
              <w:t xml:space="preserve">ce</w:t>
            </w:r>
            <w:r>
              <w:rPr>
                <w:spacing w:val="1"/>
                <w:lang w:val="en-GB" w:eastAsia="en-GB" w:bidi="en-GB"/>
              </w:rPr>
              <w:t xml:space="preserve"> </w:t>
            </w:r>
            <w:r>
              <w:rPr>
                <w:lang w:val="en-GB" w:eastAsia="en-GB" w:bidi="en-GB"/>
              </w:rPr>
              <w:t xml:space="preserve">and p</w:t>
            </w:r>
            <w:r>
              <w:rPr>
                <w:spacing w:val="-1"/>
                <w:lang w:val="en-GB" w:eastAsia="en-GB" w:bidi="en-GB"/>
              </w:rPr>
              <w:t xml:space="preserve">r</w:t>
            </w:r>
            <w:r>
              <w:rPr>
                <w:spacing w:val="-2"/>
                <w:lang w:val="en-GB" w:eastAsia="en-GB" w:bidi="en-GB"/>
              </w:rPr>
              <w:t xml:space="preserve">o</w:t>
            </w:r>
            <w:r>
              <w:rPr>
                <w:spacing w:val="2"/>
                <w:lang w:val="en-GB" w:eastAsia="en-GB" w:bidi="en-GB"/>
              </w:rPr>
              <w:t xml:space="preserve">f</w:t>
            </w:r>
            <w:r>
              <w:rPr>
                <w:lang w:val="en-GB" w:eastAsia="en-GB" w:bidi="en-GB"/>
              </w:rPr>
              <w:t xml:space="preserve">ess</w:t>
            </w:r>
            <w:r>
              <w:rPr>
                <w:spacing w:val="-1"/>
                <w:lang w:val="en-GB" w:eastAsia="en-GB" w:bidi="en-GB"/>
              </w:rPr>
              <w:t xml:space="preserve">i</w:t>
            </w:r>
            <w:r>
              <w:rPr>
                <w:spacing w:val="-2"/>
                <w:lang w:val="en-GB" w:eastAsia="en-GB" w:bidi="en-GB"/>
              </w:rPr>
              <w:t xml:space="preserve">o</w:t>
            </w:r>
            <w:r>
              <w:rPr>
                <w:lang w:val="en-GB" w:eastAsia="en-GB" w:bidi="en-GB"/>
              </w:rPr>
              <w:t xml:space="preserve">nal </w:t>
            </w:r>
            <w:r>
              <w:rPr>
                <w:spacing w:val="-2"/>
                <w:lang w:val="en-GB" w:eastAsia="en-GB" w:bidi="en-GB"/>
              </w:rPr>
              <w:t xml:space="preserve">b</w:t>
            </w:r>
            <w:r>
              <w:rPr>
                <w:lang w:val="en-GB" w:eastAsia="en-GB" w:bidi="en-GB"/>
              </w:rPr>
              <w:t xml:space="preserve">ou</w:t>
            </w:r>
            <w:r>
              <w:rPr>
                <w:spacing w:val="-2"/>
                <w:lang w:val="en-GB" w:eastAsia="en-GB" w:bidi="en-GB"/>
              </w:rPr>
              <w:t xml:space="preserve">n</w:t>
            </w:r>
            <w:r>
              <w:rPr>
                <w:lang w:val="en-GB" w:eastAsia="en-GB" w:bidi="en-GB"/>
              </w:rPr>
              <w:t xml:space="preserve">da</w:t>
            </w:r>
            <w:r>
              <w:rPr>
                <w:spacing w:val="-1"/>
                <w:lang w:val="en-GB" w:eastAsia="en-GB" w:bidi="en-GB"/>
              </w:rPr>
              <w:t xml:space="preserve">ri</w:t>
            </w:r>
            <w:r>
              <w:rPr>
                <w:spacing w:val="-2"/>
                <w:lang w:val="en-GB" w:eastAsia="en-GB" w:bidi="en-GB"/>
              </w:rPr>
              <w:t xml:space="preserve">e</w:t>
            </w:r>
            <w:r>
              <w:rPr>
                <w:lang w:val="en-GB" w:eastAsia="en-GB" w:bidi="en-GB"/>
              </w:rPr>
              <w:t xml:space="preserve">s and</w:t>
            </w:r>
            <w:r>
              <w:rPr>
                <w:spacing w:val="-1"/>
                <w:lang w:val="en-GB" w:eastAsia="en-GB" w:bidi="en-GB"/>
              </w:rPr>
              <w:t xml:space="preserve"> l</w:t>
            </w:r>
            <w:r>
              <w:rPr>
                <w:lang w:val="en-GB" w:eastAsia="en-GB" w:bidi="en-GB"/>
              </w:rPr>
              <w:t xml:space="preserve">ead</w:t>
            </w:r>
            <w:r>
              <w:rPr>
                <w:spacing w:val="-1"/>
                <w:lang w:val="en-GB" w:eastAsia="en-GB" w:bidi="en-GB"/>
              </w:rPr>
              <w:t xml:space="preserve"> </w:t>
            </w:r>
            <w:r>
              <w:rPr>
                <w:lang w:val="en-GB" w:eastAsia="en-GB" w:bidi="en-GB"/>
              </w:rPr>
              <w:t xml:space="preserve">to</w:t>
            </w:r>
            <w:r>
              <w:rPr>
                <w:spacing w:val="-1"/>
                <w:lang w:val="en-GB" w:eastAsia="en-GB" w:bidi="en-GB"/>
              </w:rPr>
              <w:t xml:space="preserve"> </w:t>
            </w:r>
            <w:r>
              <w:rPr>
                <w:lang w:val="en-GB" w:eastAsia="en-GB" w:bidi="en-GB"/>
              </w:rPr>
              <w:t xml:space="preserve">an</w:t>
            </w:r>
            <w:r>
              <w:rPr>
                <w:spacing w:val="1"/>
                <w:lang w:val="en-GB" w:eastAsia="en-GB" w:bidi="en-GB"/>
              </w:rPr>
              <w:t xml:space="preserve"> </w:t>
            </w:r>
            <w:r>
              <w:rPr>
                <w:spacing w:val="-3"/>
                <w:lang w:val="en-GB" w:eastAsia="en-GB" w:bidi="en-GB"/>
              </w:rPr>
              <w:t xml:space="preserve">i</w:t>
            </w:r>
            <w:r>
              <w:rPr>
                <w:spacing w:val="1"/>
                <w:lang w:val="en-GB" w:eastAsia="en-GB" w:bidi="en-GB"/>
              </w:rPr>
              <w:t xml:space="preserve">m</w:t>
            </w:r>
            <w:r>
              <w:rPr>
                <w:lang w:val="en-GB" w:eastAsia="en-GB" w:bidi="en-GB"/>
              </w:rPr>
              <w:t xml:space="preserve">p</w:t>
            </w:r>
            <w:r>
              <w:rPr>
                <w:spacing w:val="-1"/>
                <w:lang w:val="en-GB" w:eastAsia="en-GB" w:bidi="en-GB"/>
              </w:rPr>
              <w:t xml:space="preserve">r</w:t>
            </w:r>
            <w:r>
              <w:rPr>
                <w:spacing w:val="-2"/>
                <w:lang w:val="en-GB" w:eastAsia="en-GB" w:bidi="en-GB"/>
              </w:rPr>
              <w:t xml:space="preserve">o</w:t>
            </w:r>
            <w:r>
              <w:rPr>
                <w:spacing w:val="-3"/>
                <w:lang w:val="en-GB" w:eastAsia="en-GB" w:bidi="en-GB"/>
              </w:rPr>
              <w:t xml:space="preserve">v</w:t>
            </w:r>
            <w:r>
              <w:rPr>
                <w:lang w:val="en-GB" w:eastAsia="en-GB" w:bidi="en-GB"/>
              </w:rPr>
              <w:t xml:space="preserve">e</w:t>
            </w:r>
            <w:r>
              <w:rPr>
                <w:spacing w:val="1"/>
                <w:lang w:val="en-GB" w:eastAsia="en-GB" w:bidi="en-GB"/>
              </w:rPr>
              <w:t xml:space="preserve">m</w:t>
            </w:r>
            <w:r>
              <w:rPr>
                <w:lang w:val="en-GB" w:eastAsia="en-GB" w:bidi="en-GB"/>
              </w:rPr>
              <w:t xml:space="preserve">ent </w:t>
            </w:r>
            <w:r>
              <w:rPr>
                <w:spacing w:val="-1"/>
                <w:lang w:val="en-GB" w:eastAsia="en-GB" w:bidi="en-GB"/>
              </w:rPr>
              <w:t xml:space="preserve">i</w:t>
            </w:r>
            <w:r>
              <w:rPr>
                <w:lang w:val="en-GB" w:eastAsia="en-GB" w:bidi="en-GB"/>
              </w:rPr>
              <w:t xml:space="preserve">n</w:t>
            </w:r>
            <w:r>
              <w:rPr>
                <w:spacing w:val="-1"/>
                <w:lang w:val="en-GB" w:eastAsia="en-GB" w:bidi="en-GB"/>
              </w:rPr>
              <w:t xml:space="preserve"> </w:t>
            </w:r>
            <w:r>
              <w:rPr>
                <w:lang w:val="en-GB" w:eastAsia="en-GB" w:bidi="en-GB"/>
              </w:rPr>
              <w:t xml:space="preserve">children and young people’s o</w:t>
            </w:r>
            <w:r>
              <w:rPr>
                <w:spacing w:val="-2"/>
                <w:lang w:val="en-GB" w:eastAsia="en-GB" w:bidi="en-GB"/>
              </w:rPr>
              <w:t xml:space="preserve">u</w:t>
            </w:r>
            <w:r>
              <w:rPr>
                <w:lang w:val="en-GB" w:eastAsia="en-GB" w:bidi="en-GB"/>
              </w:rPr>
              <w:t xml:space="preserve">tc</w:t>
            </w:r>
            <w:r>
              <w:rPr>
                <w:spacing w:val="-2"/>
                <w:lang w:val="en-GB" w:eastAsia="en-GB" w:bidi="en-GB"/>
              </w:rPr>
              <w:t xml:space="preserve">o</w:t>
            </w:r>
            <w:r>
              <w:rPr>
                <w:spacing w:val="1"/>
                <w:lang w:val="en-GB" w:eastAsia="en-GB" w:bidi="en-GB"/>
              </w:rPr>
              <w:t xml:space="preserve">m</w:t>
            </w:r>
            <w:r>
              <w:rPr>
                <w:lang w:val="en-GB" w:eastAsia="en-GB" w:bidi="en-GB"/>
              </w:rPr>
              <w:t xml:space="preserve">es.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t xml:space="preserve">Skills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6</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Ability to give quality professional advice and challenge on all aspects of relevant legislation and policy development and their implications for improvement the outcomes for vulnerable children and young people.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7</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Ability to initiate pupil level change to effect improved outcomes for vulnerable children and young people, presenting a degree of challenge to individuals and institutions as appropriate.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8</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Ability to keep effective records of contact with children, schools and parent and carers and to use these to monitor, review and plan for vulnerable children and young people.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9</w:t>
            </w:r>
          </w:p>
        </w:tc>
        <w:tc>
          <w:tcPr>
            <w:tcW w:w="5281" w:type="dxa"/>
            <w:shd w:val="clear" w:color="auto" w:fill="auto"/>
            <w:vAlign w:val="top"/>
          </w:tcPr>
          <w:p>
            <w:pPr>
              <w:pStyle w:val="Normal"/>
              <w:tabs>
                <w:tab w:val="left" w:pos="336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lang w:val="en-GB" w:eastAsia="en-GB" w:bidi="en-GB"/>
              </w:rPr>
            </w:pPr>
            <w:r>
              <w:rPr>
                <w:lang w:val="en-GB" w:eastAsia="en-GB" w:bidi="en-GB"/>
              </w:rPr>
              <w:t xml:space="preserve">Ability to plan to use a range of strategies, giving advice and consultation to promote positive and effective high quality education support to vulnerable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bl>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Special requirements of the post</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10</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role will require you to obtain an Enhanced satisfactory clearance from the Disclosure and Barring Service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11</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post needs to meet the requirement of the Baseline Personal Security Standard</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12</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post is subject to the council’s policy on pecuniary and personal interest</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 include: the Healthy Workplace award, Timewise, London Living Wage Employer, Disability Confident Committed, The Mayor’s Good Work Standard, Stonewall Diversity Champion, and Time to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6517640" cy="702310"/>
            <wp:docPr id="4" name="_x0000_i1025"/>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6517640" cy="70231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10"/>
      <w:headerReference w:type="first" r:id="rId00011"/>
      <w:footerReference w:type="first" r:id="rId00012"/>
      <w:pgSz w:w="11900" w:h="16840"/>
      <w:pgMar w:top="1644" w:right="851" w:bottom="1219" w:left="851" w:header="646" w:footer="794"/>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Segoe UI">
    <w:panose1 w:val="020B0502040204020203"/>
    <w:charset w:val="00"/>
    <w:family w:val="swiss"/>
    <w:pitch w:val="variable"/>
    <w:sig w:usb0="E4002EFF" w:usb1="C000E47F" w:usb2="00000009" w:usb3="00000000" w:csb0="200001FF" w:csb1="00000000"/>
  </w:font>
</w:fonts>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60288" behindDoc="0" locked="0" layoutInCell="1" hidden="0" allowOverlap="1">
          <wp:simplePos x="0" y="0"/>
          <wp:positionH relativeFrom="page">
            <wp:posOffset>-52070</wp:posOffset>
          </wp:positionH>
          <wp:positionV relativeFrom="page">
            <wp:posOffset>10058400</wp:posOffset>
          </wp:positionV>
          <wp:extent cx="7594600" cy="658495"/>
          <wp:wrapNone/>
          <wp:docPr id="3" name="Picture 19"/>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7594600" cy="65849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right" w:pos="9020"/>
        <w:tab w:val="clear"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0"/>
      <w:rPr>
        <w:sz w:val="64"/>
        <w:szCs w:val="64"/>
        <w:lang w:val="en-GB" w:eastAsia="en-GB" w:bidi="en-GB"/>
      </w:rPr>
    </w:pPr>
    <w:r>
      <w:drawing>
        <wp:anchor distT="0" distB="0" distL="114300" distR="114300" simplePos="0" relativeHeight="251659264" behindDoc="0" locked="0" layoutInCell="1" hidden="0" allowOverlap="1">
          <wp:simplePos x="0" y="0"/>
          <wp:positionH relativeFrom="page">
            <wp:posOffset>4890770</wp:posOffset>
          </wp:positionH>
          <wp:positionV relativeFrom="page">
            <wp:posOffset>457200</wp:posOffset>
          </wp:positionV>
          <wp:extent cx="2181860" cy="362585"/>
          <wp:wrapNone/>
          <wp:docPr id="2" name="Picture 18"/>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81860" cy="362585"/>
                  </a:xfrm>
                  <a:prstGeom prst="rect">
                    <a:avLst/>
                  </a:prstGeom>
                </pic:spPr>
              </pic:pic>
            </a:graphicData>
          </a:graphic>
        </wp:anchor>
      </w:drawing>
    </w:r>
    <w:r>
      <w:rPr>
        <w:sz w:val="64"/>
        <w:szCs w:val="64"/>
        <w:lang w:val="en-GB" w:eastAsia="en-GB" w:bidi="en-GB"/>
      </w:rPr>
      <w:drawing>
        <wp:inline distT="0" distB="0" distL="0" distR="0">
          <wp:extent cx="1807210" cy="69278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807210" cy="69278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decimal"/>
      <w:suff w:val="tab"/>
      <w:lvlText w:val="%1."/>
      <w:pPr>
        <w:ind w:left="720" w:hanging="360"/>
        <w:tabs>
          <w:tab w:val="num" w:pos="720"/>
        </w:tabs>
      </w:pPr>
      <w:rPr>
        <w:rFonts w:hint="default" w:ascii="Tahoma" w:hAnsi="Tahoma" w:eastAsia="Tahoma" w:cs="Tahoma"/>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 w:numId="3">
    <w:abstractNumId w:val="1"/>
    <w:lvlOverride w:ilvl="0">
      <w:lvl w:ilvl="0">
        <w:start w:val="1"/>
        <w:numFmt w:val="decimal"/>
        <w:suff w:val="tab"/>
        <w:lvlText w:val="%1."/>
        <w:pPr>
          <w:ind w:left="720" w:hanging="360"/>
          <w:tabs>
            <w:tab w:val="num" w:pos="720"/>
          </w:tabs>
        </w:pPr>
        <w:rPr>
          <w:rFonts w:hint="default" w:ascii="Tahoma" w:hAnsi="Tahoma" w:eastAsia="Tahoma" w:cs="Tahoma"/>
          <w:b w:val="off"/>
          <w:i w:val="off"/>
          <w:strike w:val="off"/>
          <w:color w:val="000000"/>
          <w:position w:val="0"/>
          <w:sz w:val="24"/>
          <w:u w:val="none"/>
          <w:shd w:val="clear" w:color="auto" w:fill="auto"/>
        </w:rPr>
      </w:lvl>
    </w:lvlOverride>
  </w:num>
  <w:num w:numId="4">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ahoma" w:hAnsi="Tahoma" w:eastAsia="Tahoma" w:cs="Tahoma"/>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Heading1">
    <w:name w:val="heading 1"/>
    <w:basedOn w:val="Normal"/>
    <w:next w:val="Normal"/>
    <w:qFormat/>
    <w:pPr>
      <w:keepNext/>
      <w:keepLines/>
      <w:spacing w:before="240"/>
      <w:outlineLvl w:val="0"/>
    </w:pPr>
    <w:rPr>
      <w:color w:val="007833"/>
      <w:sz w:val="64"/>
      <w:szCs w:val="64"/>
      <w:lang w:val="en-GB" w:eastAsia="en-GB" w:bidi="en-GB"/>
    </w:rPr>
  </w:style>
  <w:style w:type="paragraph" w:styleId="Heading2">
    <w:name w:val="heading 2"/>
    <w:basedOn w:val="Heading1"/>
    <w:next w:val="Normal"/>
    <w:qFormat/>
    <w:pPr>
      <w:outlineLvl w:val="1"/>
    </w:pPr>
    <w:rPr>
      <w:sz w:val="48"/>
      <w:szCs w:val="48"/>
      <w:lang w:val="en-GB" w:eastAsia="en-GB" w:bidi="en-GB"/>
    </w:rPr>
  </w:style>
  <w:style w:type="paragraph" w:styleId="Heading3">
    <w:name w:val="heading 3"/>
    <w:basedOn w:val="Heading2"/>
    <w:next w:val="Normal"/>
    <w:qFormat/>
    <w:pPr>
      <w:outlineLvl w:val="2"/>
    </w:pPr>
    <w:rPr>
      <w:color w:val="4C4C4D"/>
      <w:sz w:val="40"/>
      <w:szCs w:val="40"/>
      <w:lang w:val="en-GB" w:eastAsia="en-GB" w:bidi="en-GB"/>
    </w:rPr>
  </w:style>
  <w:style w:type="paragraph" w:styleId="Heading4">
    <w:name w:val="heading 4"/>
    <w:basedOn w:val="Heading3"/>
    <w:next w:val="Normal"/>
    <w:qFormat/>
    <w:pPr>
      <w:outlineLvl w:val="3"/>
    </w:pPr>
    <w:rPr>
      <w:color w:val="000000"/>
      <w:sz w:val="32"/>
      <w:szCs w:val="32"/>
      <w:lang w:val="en-GB" w:eastAsia="en-GB" w:bidi="en-GB"/>
    </w:rPr>
  </w:style>
  <w:style w:type="paragraph" w:styleId="Title">
    <w:name w:val="Title"/>
    <w:basedOn w:val="Heading4"/>
    <w:next w:val="Normal"/>
    <w:qFormat/>
    <w:pPr/>
    <w:rPr>
      <w:sz w:val="56"/>
      <w:szCs w:val="56"/>
      <w:lang w:val="en-GB" w:eastAsia="en-GB" w:bidi="en-GB"/>
    </w:rPr>
  </w:style>
  <w:style w:type="paragraph" w:styleId="Heading5">
    <w:name w:val="heading 5"/>
    <w:basedOn w:val="Title"/>
    <w:next w:val="Normal"/>
    <w:qFormat/>
    <w:pPr>
      <w:outlineLvl w:val="4"/>
    </w:pPr>
    <w:rPr>
      <w:sz w:val="24"/>
      <w:szCs w:val="24"/>
      <w:lang w:val="en-GB" w:eastAsia="en-GB" w:bidi="en-GB"/>
    </w:rPr>
  </w:style>
  <w:style w:type="paragraph" w:styleId="Subtitle">
    <w:name w:val="Subtitle"/>
    <w:basedOn w:val="Heading5"/>
    <w:next w:val="Normal"/>
    <w:qFormat/>
    <w:pPr/>
    <w:rPr>
      <w:color w:val="4C4C4D"/>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odyTextIndent2">
    <w:name w:val="Body Text Indent 2"/>
    <w:basedOn w:val="Normal"/>
    <w:next w:val="BodyTextIndent2"/>
    <w:qFormat/>
    <w:pPr>
      <w:spacing w:after="120" w:line="480" w:lineRule="auto"/>
      <w:ind w:left="283"/>
    </w:pPr>
    <w:rPr>
      <w:lang w:val="en-GB" w:eastAsia="en-GB" w:bidi="en-GB"/>
    </w:rPr>
  </w:style>
  <w:style w:type="character" w:styleId="Hyperlink">
    <w:name w:val="Hyperlink"/>
    <w:qFormat/>
    <w:rPr>
      <w:color w:val="0000FF"/>
      <w:u w:val="single"/>
      <w:rtl w:val="off"/>
    </w:rPr>
  </w:style>
  <w:style w:type="character" w:styleId="Header Char">
    <w:name w:val="Header Char"/>
    <w:qFormat/>
    <w:rPr>
      <w:rFonts w:ascii="Tahoma" w:hAnsi="Tahoma" w:eastAsia="Tahoma" w:cs="Tahoma"/>
      <w:b w:val="off"/>
      <w:bCs w:val="off"/>
      <w:i w:val="off"/>
      <w:iCs w:val="off"/>
      <w:rtl w:val="off"/>
      <w:lang w:val="en-GB" w:eastAsia="en-GB" w:bidi="en-GB"/>
    </w:rPr>
  </w:style>
  <w:style w:type="character" w:styleId="Footer Char">
    <w:name w:val="Footer Char"/>
    <w:qFormat/>
    <w:rPr>
      <w:rFonts w:ascii="Tahoma" w:hAnsi="Tahoma" w:eastAsia="Tahoma" w:cs="Tahoma"/>
      <w:b w:val="off"/>
      <w:bCs w:val="off"/>
      <w:i w:val="off"/>
      <w:iCs w:val="off"/>
      <w:rtl w:val="off"/>
      <w:lang w:val="en-GB" w:eastAsia="en-GB" w:bidi="en-GB"/>
    </w:rPr>
  </w:style>
  <w:style w:type="paragraph" w:styleId="NormalWeb">
    <w:name w:val="Normal (Web)"/>
    <w:basedOn w:val="Normal"/>
    <w:next w:val="NormalWeb"/>
    <w:qFormat/>
    <w:pPr/>
    <w:rPr>
      <w:lang w:val="en-GB" w:eastAsia="en-GB" w:bidi="en-GB"/>
    </w:rPr>
  </w:style>
  <w:style w:type="character" w:styleId="Heading 1 Char">
    <w:name w:val="Heading 1 Char"/>
    <w:qFormat/>
    <w:rPr>
      <w:rFonts w:ascii="Tahoma" w:hAnsi="Tahoma" w:eastAsia="Tahoma" w:cs="Tahoma"/>
      <w:b w:val="off"/>
      <w:bCs w:val="off"/>
      <w:i w:val="off"/>
      <w:iCs w:val="off"/>
      <w:color w:val="007833"/>
      <w:sz w:val="64"/>
      <w:szCs w:val="64"/>
      <w:rtl w:val="off"/>
      <w:lang w:val="en-GB" w:eastAsia="en-GB" w:bidi="en-GB"/>
    </w:rPr>
  </w:style>
  <w:style w:type="character" w:styleId="Heading 2 Char">
    <w:name w:val="Heading 2 Char"/>
    <w:qFormat/>
    <w:rPr>
      <w:rFonts w:ascii="Tahoma" w:hAnsi="Tahoma" w:eastAsia="Tahoma" w:cs="Tahoma"/>
      <w:b w:val="off"/>
      <w:bCs w:val="off"/>
      <w:i w:val="off"/>
      <w:iCs w:val="off"/>
      <w:color w:val="007833"/>
      <w:sz w:val="48"/>
      <w:szCs w:val="48"/>
      <w:rtl w:val="off"/>
      <w:lang w:val="en-GB" w:eastAsia="en-GB" w:bidi="en-GB"/>
    </w:rPr>
  </w:style>
  <w:style w:type="character" w:styleId="Heading 3 Char">
    <w:name w:val="Heading 3 Char"/>
    <w:qFormat/>
    <w:rPr>
      <w:rFonts w:ascii="Tahoma" w:hAnsi="Tahoma" w:eastAsia="Tahoma" w:cs="Tahoma"/>
      <w:b w:val="off"/>
      <w:bCs w:val="off"/>
      <w:i w:val="off"/>
      <w:iCs w:val="off"/>
      <w:color w:val="4C4C4D"/>
      <w:sz w:val="40"/>
      <w:szCs w:val="40"/>
      <w:rtl w:val="off"/>
      <w:lang w:val="en-GB" w:eastAsia="en-GB" w:bidi="en-GB"/>
    </w:rPr>
  </w:style>
  <w:style w:type="character" w:styleId="Heading 4 Char">
    <w:name w:val="Heading 4 Char"/>
    <w:qFormat/>
    <w:rPr>
      <w:rFonts w:ascii="Tahoma" w:hAnsi="Tahoma" w:eastAsia="Tahoma" w:cs="Tahoma"/>
      <w:b w:val="off"/>
      <w:bCs w:val="off"/>
      <w:i w:val="off"/>
      <w:iCs w:val="off"/>
      <w:color w:val="000000"/>
      <w:sz w:val="32"/>
      <w:szCs w:val="32"/>
      <w:rtl w:val="off"/>
      <w:lang w:val="en-GB" w:eastAsia="en-GB" w:bidi="en-GB"/>
    </w:rPr>
  </w:style>
  <w:style w:type="character" w:styleId="Title Char">
    <w:name w:val="Title Char"/>
    <w:qFormat/>
    <w:rPr>
      <w:rFonts w:ascii="Tahoma" w:hAnsi="Tahoma" w:eastAsia="Tahoma" w:cs="Tahoma"/>
      <w:b w:val="off"/>
      <w:bCs w:val="off"/>
      <w:i w:val="off"/>
      <w:iCs w:val="off"/>
      <w:color w:val="000000"/>
      <w:sz w:val="56"/>
      <w:szCs w:val="56"/>
      <w:rtl w:val="off"/>
      <w:lang w:val="en-GB" w:eastAsia="en-GB" w:bidi="en-GB"/>
    </w:rPr>
  </w:style>
  <w:style w:type="character" w:styleId="Heading 5 Char">
    <w:name w:val="Heading 5 Char"/>
    <w:qFormat/>
    <w:rPr>
      <w:rFonts w:ascii="Tahoma" w:hAnsi="Tahoma" w:eastAsia="Tahoma" w:cs="Tahoma"/>
      <w:b w:val="off"/>
      <w:bCs w:val="off"/>
      <w:i w:val="off"/>
      <w:iCs w:val="off"/>
      <w:color w:val="000000"/>
      <w:rtl w:val="off"/>
      <w:lang w:val="en-GB" w:eastAsia="en-GB" w:bidi="en-GB"/>
    </w:rPr>
  </w:style>
  <w:style w:type="character" w:styleId="Subtitle Char">
    <w:name w:val="Subtitle Char"/>
    <w:qFormat/>
    <w:rPr>
      <w:rFonts w:ascii="Tahoma" w:hAnsi="Tahoma" w:eastAsia="Tahoma" w:cs="Tahoma"/>
      <w:b w:val="off"/>
      <w:bCs w:val="off"/>
      <w:i w:val="off"/>
      <w:iCs w:val="off"/>
      <w:color w:val="4C4C4D"/>
      <w:rtl w:val="off"/>
      <w:lang w:val="en-GB" w:eastAsia="en-GB" w:bidi="en-GB"/>
    </w:rPr>
  </w:style>
  <w:style w:type="character" w:styleId="Strong">
    <w:name w:val="Strong"/>
    <w:qFormat/>
    <w:rPr>
      <w:rFonts w:ascii="Tahoma" w:hAnsi="Tahoma" w:eastAsia="Tahoma" w:cs="Tahoma"/>
      <w:b/>
      <w:bCs/>
      <w:i w:val="off"/>
      <w:iCs w:val="off"/>
      <w:sz w:val="24"/>
      <w:szCs w:val="24"/>
      <w:rtl w:val="off"/>
    </w:rPr>
  </w:style>
  <w:style w:type="paragraph" w:styleId="Quote">
    <w:name w:val="Quote"/>
    <w:basedOn w:val="Normal"/>
    <w:next w:val="Normal"/>
    <w:qFormat/>
    <w:pPr>
      <w:spacing w:before="200" w:after="160"/>
      <w:ind w:left="864" w:right="864"/>
      <w:jc w:val="center"/>
    </w:pPr>
    <w:rPr>
      <w:i/>
      <w:iCs/>
      <w:color w:val="404040"/>
      <w:lang w:val="en-GB" w:eastAsia="en-GB" w:bidi="en-GB"/>
    </w:rPr>
  </w:style>
  <w:style w:type="character" w:styleId="Quote Char">
    <w:name w:val="Quote Char"/>
    <w:qFormat/>
    <w:rPr>
      <w:rFonts w:ascii="Tahoma" w:hAnsi="Tahoma" w:eastAsia="Tahoma" w:cs="Tahoma"/>
      <w:b w:val="off"/>
      <w:bCs w:val="off"/>
      <w:i/>
      <w:iCs/>
      <w:color w:val="404040"/>
      <w:rtl w:val="off"/>
      <w:lang w:val="en-GB" w:eastAsia="en-GB" w:bidi="en-GB"/>
    </w:rPr>
  </w:style>
  <w:style w:type="paragraph" w:styleId="IntenseQuote">
    <w:name w:val="Intense Quote"/>
    <w:basedOn w:val="Normal"/>
    <w:next w:val="Normal"/>
    <w:qFormat/>
    <w:pPr>
      <w:spacing w:before="360" w:after="360"/>
      <w:ind w:left="862" w:right="862"/>
    </w:pPr>
    <w:rPr>
      <w:b/>
      <w:bCs/>
      <w:i/>
      <w:iCs/>
      <w:color w:val="000000"/>
      <w:lang w:val="en-GB" w:eastAsia="en-GB" w:bidi="en-GB"/>
    </w:rPr>
  </w:style>
  <w:style w:type="character" w:styleId="Intense Quote Char">
    <w:name w:val="Intense Quote Char"/>
    <w:qFormat/>
    <w:rPr>
      <w:rFonts w:ascii="Tahoma" w:hAnsi="Tahoma" w:eastAsia="Tahoma" w:cs="Tahoma"/>
      <w:b/>
      <w:bCs/>
      <w:i/>
      <w:iCs/>
      <w:color w:val="000000"/>
      <w:rtl w:val="off"/>
      <w:lang w:val="en-GB" w:eastAsia="en-GB" w:bidi="en-GB"/>
    </w:rPr>
  </w:style>
  <w:style w:type="paragraph" w:styleId="BodyText2">
    <w:name w:val="Body Text 2"/>
    <w:basedOn w:val="Normal"/>
    <w:next w:val="BodyText2"/>
    <w:qFormat/>
    <w:pPr/>
    <w:rPr>
      <w:rFonts w:ascii="Times New Roman" w:hAnsi="Times New Roman" w:eastAsia="Times New Roman" w:cs="Times New Roman"/>
      <w:lang w:val="en-GB" w:eastAsia="en-GB" w:bidi="en-GB"/>
    </w:rPr>
  </w:style>
  <w:style w:type="character" w:styleId="Body Text 2 Char">
    <w:name w:val="Body Text 2 Char"/>
    <w:qFormat/>
    <w:rPr>
      <w:rFonts w:ascii="Times New Roman" w:hAnsi="Times New Roman" w:eastAsia="Times New Roman" w:cs="Times New Roman"/>
      <w:rtl w:val="off"/>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Fonts w:ascii="Tahoma" w:hAnsi="Tahoma" w:eastAsia="Tahoma" w:cs="Tahoma"/>
      <w:sz w:val="20"/>
      <w:szCs w:val="20"/>
      <w:rtl w:val="off"/>
      <w:lang w:val="en-GB" w:eastAsia="en-GB" w:bidi="en-GB"/>
    </w:rPr>
  </w:style>
  <w:style w:type="character" w:styleId="Comment Subject Char">
    <w:name w:val="Comment Subject Char"/>
    <w:basedOn w:val="Comment Text Char"/>
    <w:qFormat/>
    <w:rPr>
      <w:rFonts w:ascii="Tahoma" w:hAnsi="Tahoma" w:eastAsia="Tahoma" w:cs="Tahoma"/>
      <w:b/>
      <w:bCs/>
      <w:sz w:val="20"/>
      <w:szCs w:val="20"/>
      <w:lang w:val="en-GB" w:eastAsia="en-GB" w:bidi="en-GB"/>
    </w:rPr>
  </w:style>
  <w:style w:type="paragraph" w:styleId="BalloonText">
    <w:name w:val="Balloon Text"/>
    <w:basedOn w:val="Normal"/>
    <w:next w:val="BalloonText"/>
    <w:qFormat/>
    <w:pPr/>
    <w:rPr>
      <w:rFonts w:ascii="Segoe UI" w:hAnsi="Segoe UI" w:eastAsia="Segoe UI" w:cs="Segoe UI"/>
      <w:sz w:val="18"/>
      <w:szCs w:val="18"/>
      <w:lang w:val="en-GB" w:eastAsia="en-GB" w:bidi="en-GB"/>
    </w:rPr>
  </w:style>
  <w:style w:type="character" w:styleId="Balloon Text Char">
    <w:name w:val="Balloon Text Char"/>
    <w:qFormat/>
    <w:rPr>
      <w:rFonts w:ascii="Segoe UI" w:hAnsi="Segoe UI" w:eastAsia="Segoe UI" w:cs="Segoe UI"/>
      <w:sz w:val="18"/>
      <w:szCs w:val="18"/>
      <w:rtl w:val="off"/>
      <w:lang w:val="en-GB" w:eastAsia="en-GB" w:bidi="en-GB"/>
    </w:rPr>
  </w:style>
  <w:style w:type="character" w:styleId="Body Text Indent 2 Char">
    <w:name w:val="Body Text Indent 2 Char"/>
    <w:qFormat/>
    <w:rPr>
      <w:rFonts w:ascii="Tahoma" w:hAnsi="Tahoma" w:eastAsia="Tahoma" w:cs="Tahoma"/>
      <w:rtl w:val="off"/>
      <w:lang w:val="en-GB" w:eastAsia="en-GB" w:bidi="en-GB"/>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lang w:val="en-GB" w:eastAsia="en-GB" w:bidi="en-GB"/>
    </w:rPr>
  </w:style>
  <w:style w:type="character" w:styleId="SubtleEmphasis">
    <w:name w:val="Subtle Emphasis"/>
    <w:qFormat/>
    <w:rPr>
      <w:i/>
      <w:iCs/>
      <w:color w:val="4C4C4D"/>
      <w:sz w:val="24"/>
      <w:szCs w:val="24"/>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header" Target="header0001_first.xml"/>
	<Relationship Id="rId00012" Type="http://schemas.openxmlformats.org/officeDocument/2006/relationships/footer" Target="footer0001_first.xml"/>
	<Relationship Id="rId00009" Type="http://schemas.openxmlformats.org/officeDocument/2006/relationships/image" Target="media/image0004.png"/>
	<Relationship Id="rId00013" Type="http://schemas.openxmlformats.org/officeDocument/2006/relationships/numbering" Target="numbering.xml"/>
	<Relationship Id="rId00014" Type="http://schemas.openxmlformats.org/officeDocument/2006/relationships/fontTable" Target="fontTable.xml"/>
	<Relationship Id="rId00015" Type="http://schemas.openxmlformats.org/officeDocument/2006/relationships/settings" Target="settings.xml"/>
</Relationships>
</file>

<file path=word/_rels/footer0001_first.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2.png"/>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Jan 2021</dc:title>
  <dc:creator>Islington Council</dc:creator>
  <dcterms:created xsi:type="dcterms:W3CDTF">2024-08-22T08:00:00Z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s Type">
    <vt:lpwstr>729;#Recruitment|c9267d7d-6437-4881-90a1-fe64a3030a55</vt:lpwstr>
  </property>
  <property fmtid="{D5CDD505-2E9C-101B-9397-08002B2CF9AE}" pid="3" name="Owning TeamTaxHTField0">
    <vt:lpwstr>HR Policy and Business Partners|1dcfcce7-095d-46bf-8d3b-7d1e13d14a05</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k2f552cf5a97436692cf62d3beff7eb8">
    <vt:lpwstr/>
  </property>
  <property fmtid="{D5CDD505-2E9C-101B-9397-08002B2CF9AE}" pid="7" name="RecordsSeries">
    <vt:lpwstr/>
  </property>
  <property fmtid="{D5CDD505-2E9C-101B-9397-08002B2CF9AE}" pid="8" name="Records TypeTaxHTField0">
    <vt:lpwstr>Recruitment|c9267d7d-6437-4881-90a1-fe64a3030a55</vt:lpwstr>
  </property>
  <property fmtid="{D5CDD505-2E9C-101B-9397-08002B2CF9AE}" pid="9" name="n7b751df62bb43ecb517aa8f58193c79">
    <vt:lpwstr/>
  </property>
  <property fmtid="{D5CDD505-2E9C-101B-9397-08002B2CF9AE}" pid="10" name="d9988a70b12c4af6a05dcb8874945a04">
    <vt:lpwstr>Human resources|c2df9457-d6aa-477c-ac41-707ed1ad495c;Recruitment and Selection|c9a289ab-5da8-4c61-9dec-1d4cf2d1cbd2</vt:lpwstr>
  </property>
  <property fmtid="{D5CDD505-2E9C-101B-9397-08002B2CF9AE}" pid="11" name="SeriesTag">
    <vt:lpwstr/>
  </property>
  <property fmtid="{D5CDD505-2E9C-101B-9397-08002B2CF9AE}" pid="12" name="Visiting Teams">
    <vt:lpwstr/>
  </property>
  <property fmtid="{D5CDD505-2E9C-101B-9397-08002B2CF9AE}" pid="13" name="SubjectTags">
    <vt:lpwstr>287;#Human resources|c2df9457-d6aa-477c-ac41-707ed1ad495c;#323;#Recruitment and Selection|c9a289ab-5da8-4c61-9dec-1d4cf2d1cbd2</vt:lpwstr>
  </property>
  <property fmtid="{D5CDD505-2E9C-101B-9397-08002B2CF9AE}" pid="14" name="FunctionalArea">
    <vt:lpwstr>200;#Human resources|89fe9f54-942e-4b99-b848-ba0087fd3c9c</vt:lpwstr>
  </property>
  <property fmtid="{D5CDD505-2E9C-101B-9397-08002B2CF9AE}" pid="15" name="g46d15b1ec8c4177bccc4a36f9126eda">
    <vt:lpwstr/>
  </property>
  <property fmtid="{D5CDD505-2E9C-101B-9397-08002B2CF9AE}" pid="16" name="ProtectiveZone">
    <vt:lpwstr>Protected</vt:lpwstr>
  </property>
  <property fmtid="{D5CDD505-2E9C-101B-9397-08002B2CF9AE}" pid="17" name="ContentTypeId">
    <vt:lpwstr>0x010100BA496156611B3A4C9D3016DD1C82BE82</vt:lpwstr>
  </property>
  <property fmtid="{D5CDD505-2E9C-101B-9397-08002B2CF9AE}" pid="18" name="OriginalFilename">
    <vt:lpwstr>ISL Word A4 Logo and thread only.docx</vt:lpwstr>
  </property>
  <property fmtid="{D5CDD505-2E9C-101B-9397-08002B2CF9AE}" pid="19" name="Owning Team">
    <vt:lpwstr>887;#HR Policy and Business Partners|1dcfcce7-095d-46bf-8d3b-7d1e13d14a05</vt:lpwstr>
  </property>
  <property fmtid="{D5CDD505-2E9C-101B-9397-08002B2CF9AE}" pid="20" name="TaxCatchAll">
    <vt:lpwstr>887;#HR Policy and Business Partners|1dcfcce7-095d-46bf-8d3b-7d1e13d14a05;#323;#Recruitment and Selection|c9a289ab-5da8-4c61-9dec-1d4cf2d1cbd2;#729;#Recruitment|c9267d7d-6437-4881-90a1-fe64a3030a55;#200;#Human resources|89fe9f54-942e-4b99-b848-ba0087fd3c9</vt:lpwstr>
  </property>
  <property fmtid="{D5CDD505-2E9C-101B-9397-08002B2CF9AE}" pid="21" name="c96fb2fb72de4de78ba8fe87aa837b5e">
    <vt:lpwstr>Human resources|89fe9f54-942e-4b99-b848-ba0087fd3c9c</vt:lpwstr>
  </property>
</Properties>
</file>