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Title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0"/>
          <w:sz w:val="44"/>
          <w:szCs w:val="44"/>
          <w:lang w:val="en-GB" w:eastAsia="en-GB" w:bidi="en-GB"/>
        </w:rPr>
      </w:pPr>
    </w:p>
    <w:p>
      <w:pPr>
        <w:pStyle w:val="Title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0"/>
          <w:lang w:val="en-GB" w:eastAsia="en-GB" w:bidi="en-GB"/>
        </w:rPr>
      </w:pPr>
      <w:r>
        <w:rPr>
          <w:spacing w:val="-10"/>
          <w:lang w:val="en-GB" w:eastAsia="en-GB" w:bidi="en-GB"/>
        </w:rPr>
        <w:t xml:space="preserve">Lead Domestic Gas Engineer</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Grade:		PO1 (plus market Supplement - p.a.+ MS of £6,870)</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Reports To:     Robert Skinner Senior Mechanical Engineer</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Direct Reports: Domestic Gas Engineers / Improver / Apprentices </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Your Team:   Gas Team</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Service Area: Direct Works </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Directorate: Property Services </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sz w:val="2"/>
          <w:szCs w:val="2"/>
          <w:lang w:val="en-GB" w:eastAsia="en-GB" w:bidi="en-GB"/>
        </w:rPr>
      </w:pPr>
    </w:p>
    <w:tbl>
      <w:tblPr>
        <w:tblW w:w="0" w:type="auto"/>
        <w:jc w:val="left"/>
        <w:tblInd w:w="0" w:type="dxa"/>
        <w:tblBorders>
          <w:top w:val="single" w:sz="4" w:space="0" w:color="000000"/>
          <w:left w:val="none"/>
          <w:bottom w:val="single" w:sz="4" w:space="0" w:color="000000"/>
          <w:right w:val="none"/>
          <w:insideH w:val="single" w:sz="4" w:space="0" w:color="000000"/>
          <w:insideV w:val="none"/>
        </w:tblBorders>
        <w:tblLayout w:type="fixed"/>
        <w:tblCellMar>
          <w:top w:w="0" w:type="dxa"/>
          <w:left w:w="108" w:type="dxa"/>
          <w:bottom w:w="0" w:type="dxa"/>
          <w:right w:w="108" w:type="dxa"/>
        </w:tblCellMar>
      </w:tblPr>
      <w:tblGrid>
        <w:gridCol w:w="10188"/>
      </w:tblGrid>
      <w:tr>
        <w:trPr>
          <w:cantSplit/>
          <w:tblHeader/>
          <w:trHeight w:val="313" w:hRule="atLeast"/>
        </w:trPr>
        <w:tc>
          <w:tcPr>
            <w:tcW w:w="10188"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b/>
                <w:bCs/>
                <w:color w:val="FFFFFF"/>
                <w:lang w:val="en-GB" w:eastAsia="en-GB" w:bidi="en-GB"/>
              </w:rPr>
              <w:t xml:space="preserve">Special requirements of the post</w:t>
            </w:r>
          </w:p>
        </w:tc>
      </w:tr>
      <w:tr>
        <w:trPr>
          <w:trHeight w:val="300" w:hRule="atLeast"/>
        </w:trPr>
        <w:tc>
          <w:tcPr>
            <w:tcW w:w="1018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Workstyle: Frontline (Full presence, working in the borough full time)</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Colleagues whose role is delivering frontline services to residents, visitors, businesses and/or other colleagues while present in the borough and activities cannot be done remotely.</w:t>
            </w:r>
          </w:p>
        </w:tc>
      </w:tr>
      <w:tr>
        <w:trPr>
          <w:trHeight w:val="300" w:hRule="atLeast"/>
        </w:trPr>
        <w:tc>
          <w:tcPr>
            <w:tcW w:w="1018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post requires a DBS check at the appropriate level (Basic)</w:t>
            </w:r>
          </w:p>
        </w:tc>
      </w:tr>
      <w:tr>
        <w:trPr>
          <w:trHeight w:val="300" w:hRule="atLeast"/>
        </w:trPr>
        <w:tc>
          <w:tcPr>
            <w:tcW w:w="1018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is a safety critical post and will be subject to the council’s drug and alcohol policy</w:t>
            </w:r>
          </w:p>
        </w:tc>
      </w:tr>
      <w:tr>
        <w:trPr>
          <w:trHeight w:val="300" w:hRule="atLeast"/>
        </w:trPr>
        <w:tc>
          <w:tcPr>
            <w:tcW w:w="1018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post is subject to the council’s declaration of interest procedure</w:t>
            </w:r>
          </w:p>
        </w:tc>
      </w:tr>
      <w:tr>
        <w:trPr>
          <w:trHeight w:val="300" w:hRule="atLeast"/>
        </w:trPr>
        <w:tc>
          <w:tcPr>
            <w:tcW w:w="1018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post is designated as politically restricted</w:t>
            </w:r>
          </w:p>
        </w:tc>
      </w:tr>
    </w:tbl>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Our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Pr>
          <w:b/>
          <w:bCs/>
          <w:lang w:val="en-GB" w:eastAsia="en-GB" w:bidi="en-GB"/>
        </w:rPr>
        <w:t xml:space="preserve">Together we can change the future</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To do this, everyone who works at Islington Council lives by a set of values which guide us in everything that we do: collaborative, ambitious, resourceful, and empowering. They spell out ‘CARE’, which is what we think public service is all about. </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Overview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The Lead Domestic Gas Engineer will provide first line assistance and mentoring to Islington Council’s in house gas engineers and apprentices, as well as providing a higher level of fault diagnosis and technical support within the service. The Lead Domestic Gas Engineer will also service, repair, maintain, fault find and install domestic heating systems and gas appliances in Council owned properties, in accordance with manufacturer’s instructions and guidance. To undertake work as directed in a safe manner to the correct quality and in a reasonable time. Regular monitoring of first-time fix and call back rates will be in place to ensure standards and service levels are maintained. The Domestic Lead Gas Engineer shall be sufficiently competent to carry out all general gas works to domestic housing and flats, completing landlords’ certificates, be competent in fault diagnostics/repair of modern/traditional boilers and be able to carry out repairs to heating systems. To document and record details of job progression and completion inclusion of the use of SOR’s schedule of rates (via PDA) in a timely manner. To hold a full clean driving licence and be prepared to work in the field at various locations within the London Borough of Islington. In addition, the post holder will be required to enter resident’s premises to carry out repairs/servicing/installation works. To liaise with suppliers, other trades operatives and other Council departments to aid job completion.</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 Carry out landlord gas safety checks/servicing and responsive repair/maintenance of domestic gas appliances and systems within the Councils housing stock as directed. To carry out all work to the requirements of Gas Safety (Installation and Use) Regulations 1998 also all relevant British Standards, manufacturer’s instructions and current industry best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2. Assist with the installation of domestic heating systems and gas appliances as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3. To provide first line supervision of the Domestic Gas Engineers and gas apprentices ensuring high levels of quality, repairs diagnosis and first-time fix are achieved/maintained. To be able to work as part of a team and independently showing initiative dealing with situations and completing tasks.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4. Ensure all certification and documentation in connection with gas work carried out, is completed accurately and in accordance with current gas legislation and the Council’s Data Protection policy. To effectively communicate with residents to explain the correct operation of gas appliances and the importance of regularly servicing gas appliances.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5. Complete PDA entries accurately, recording work undertaken and start and finish actions on a real time basis.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6. Work to deadlines and timescales, attend appointments punctually and inform the office and resident of any delays. Be willing and able to work with and train apprentices or other personnel as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7. To immediately report to your manager, any accident, incident or potentially dangerous situation, ensuring this is followed up with the appropriate documentation e.g. warning notices etc. To carry out gas related activities in tenanted and void properties as directed.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8. To take responsibility for promoting and safeguarding the welfare of children and young person’s / vulnerable adults in your care and those who you come into contact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9. To achieve agreed service outcomes and outputs, as agreed by the line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10 Carry out and develop further skills in the areas of work closely related to gas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including.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 Electrical Works (replacement of central heating controls);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b. Plaster/Brickwork (minor making good/patching of areas disturbed);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c. Power Flushing of heating systems</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Compliance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Ensure adherence to legal, regulatory, and policy requirements under GDPR, Health and Safety, Employee Code of Conduct and in your area of expertise by identifying opportunities and risks, and escalating issues as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sz w:val="40"/>
          <w:szCs w:val="40"/>
          <w:lang w:val="en-GB" w:eastAsia="en-GB" w:bidi="en-GB"/>
        </w:rPr>
      </w:pPr>
      <w:r>
        <w:rPr>
          <w:lang w:val="en-GB" w:eastAsia="en-GB" w:bidi="en-GB"/>
        </w:rPr>
        <w:br w:type="page"/>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Your application form needs to demonstrate how you fulfil the role's requirements. It is essential to address the criteria, as this will be used to evaluate your suitability for the position.</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 and desirable criteria</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 the basic requirements that must be met for someone to be considered for a particular job. These criteria are mandatory and cannot be negotiated. Essential criteria directly impact the core qualifications or skills necessary to perform the job effectively.</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 and skills relate to these and what they may be in the process of doing or willing to do to achieve these.</w:t>
      </w:r>
    </w:p>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Knowledge, experience, and skills </w:t>
      </w:r>
    </w:p>
    <w:tbl>
      <w:tblPr>
        <w:tblW w:w="0" w:type="auto"/>
        <w:jc w:val="left"/>
        <w:tblInd w:w="0" w:type="dxa"/>
        <w:tblBorders>
          <w:top w:val="single" w:sz="4" w:space="0" w:color="000000"/>
          <w:left w:val="none"/>
          <w:bottom w:val="single" w:sz="4" w:space="0" w:color="000000"/>
          <w:right w:val="none"/>
          <w:insideH w:val="single" w:sz="4" w:space="0" w:color="000000"/>
          <w:insideV w:val="none"/>
        </w:tblBorders>
        <w:tblLayout w:type="fixed"/>
        <w:tblCellMar>
          <w:top w:w="0" w:type="dxa"/>
          <w:left w:w="108" w:type="dxa"/>
          <w:bottom w:w="0" w:type="dxa"/>
          <w:right w:w="108" w:type="dxa"/>
        </w:tblCellMar>
      </w:tblPr>
      <w:tblGrid>
        <w:gridCol w:w="846"/>
        <w:gridCol w:w="8368"/>
        <w:gridCol w:w="992"/>
      </w:tblGrid>
      <w:tr>
        <w:trPr>
          <w:cantSplit/>
          <w:tblHeader/>
          <w:trHeight w:val="313" w:hRule="atLeast"/>
        </w:trPr>
        <w:tc>
          <w:tcPr>
            <w:tcW w:w="846"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Point</w:t>
            </w:r>
          </w:p>
        </w:tc>
        <w:tc>
          <w:tcPr>
            <w:tcW w:w="8368"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Criteria description</w:t>
            </w:r>
          </w:p>
        </w:tc>
        <w:tc>
          <w:tcPr>
            <w:tcW w:w="992"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Essential/desirable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836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lang w:val="en-GB" w:eastAsia="en-GB" w:bidi="en-GB"/>
              </w:rPr>
              <w:t xml:space="preserve">E1 Extensive proven post qualification experience of servicing/repair and inspection of domestic gas appliances; and/or extensive proven post qualification experience of working within a 3-star Gas Maintenance Contract.</w:t>
            </w:r>
          </w:p>
        </w:tc>
        <w:tc>
          <w:tcPr>
            <w:tcW w:w="99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Essential/desirable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836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E2 Qualifications: - City &amp; Guilds, NVQ Level 2 or equivalent and have ACS Qualifications CCN1, CEN1, HTR1, Wat1, CHR1, CPA1.</w:t>
            </w:r>
          </w:p>
        </w:tc>
        <w:tc>
          <w:tcPr>
            <w:tcW w:w="99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836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E3 Detailed knowledge of gas ventilation, installation and repair of domestic gas systems and appliances </w:t>
            </w:r>
          </w:p>
        </w:tc>
        <w:tc>
          <w:tcPr>
            <w:tcW w:w="99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r>
        <w:trPr>
          <w:cantSplit/>
          <w:trHeight w:val="836"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836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color w:val="000000"/>
                <w:shd w:val="clear" w:color="auto" w:fill="FFFFFF"/>
                <w:lang w:val="en-GB" w:eastAsia="en-GB" w:bidi="en-GB"/>
              </w:rPr>
              <w:t xml:space="preserve">E4 Detailed knowledge of health and safety legislation, codes of practice and British Standards in relation to gas safety</w:t>
            </w:r>
          </w:p>
        </w:tc>
        <w:tc>
          <w:tcPr>
            <w:tcW w:w="99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836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E5 Logical and methodical approach to problem solving and fault diagnosis, with the ability to stay focussed to follow a problem through to a satisfactory outcome. </w:t>
            </w:r>
          </w:p>
        </w:tc>
        <w:tc>
          <w:tcPr>
            <w:tcW w:w="99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836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E6 Demonstrates a suitable level of literacy and numeracy required to complete the various calculations, reports and data entry relating to gas works and to work in accordance with manufacturer’s instructions/best practice/relevant guidance. </w:t>
            </w:r>
          </w:p>
        </w:tc>
        <w:tc>
          <w:tcPr>
            <w:tcW w:w="99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836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E7 Ability to communicate effectively, both verbally and in writing, with other members of staff, Council departments, area offices, external clients/agencies. </w:t>
            </w:r>
          </w:p>
        </w:tc>
        <w:tc>
          <w:tcPr>
            <w:tcW w:w="99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836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E8 Excellent face to face communication along with the ability to explain the operation of gas installations and systems to the residents. </w:t>
            </w:r>
          </w:p>
        </w:tc>
        <w:tc>
          <w:tcPr>
            <w:tcW w:w="99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836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E9 Ability to develop further skills and be willing to attend further training courses as the job and associated technology evolves </w:t>
            </w:r>
          </w:p>
        </w:tc>
        <w:tc>
          <w:tcPr>
            <w:tcW w:w="99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836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E10 Displays an awareness, understanding and commitment to the protection and safeguarding of children and young people. and or vulnerable adults</w:t>
            </w:r>
          </w:p>
        </w:tc>
        <w:tc>
          <w:tcPr>
            <w:tcW w:w="99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836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99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bl>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4"/>
          <w:szCs w:val="24"/>
          <w:lang w:val="en-GB" w:eastAsia="en-GB" w:bidi="en-GB"/>
        </w:rPr>
      </w:pPr>
      <w:r>
        <w:rPr>
          <w:b/>
          <w:bCs/>
          <w:sz w:val="24"/>
          <w:szCs w:val="24"/>
          <w:lang w:val="en-GB" w:eastAsia="en-GB" w:bidi="en-GB"/>
        </w:rPr>
        <w:t xml:space="preserve">Our accreditations</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drawing>
          <wp:inline distT="0" distB="0" distL="0" distR="0">
            <wp:extent cx="6478270" cy="936625"/>
            <wp:docPr id="2" name="Picture 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8"/>
                    <a:stretch>
                      <a:fillRect/>
                    </a:stretch>
                  </pic:blipFill>
                  <pic:spPr>
                    <a:xfrm>
                      <a:off x="0" y="0"/>
                      <a:ext cx="6478270" cy="936625"/>
                    </a:xfrm>
                    <a:prstGeom prst="rect">
                      <a:avLst/>
                    </a:prstGeom>
                  </pic:spPr>
                </pic:pic>
              </a:graphicData>
            </a:graphic>
          </wp:inline>
        </w:drawing>
      </w:r>
      <w:r>
        <w:rPr>
          <w:lang w:val="en-GB" w:eastAsia="en-GB" w:bidi="en-GB"/>
        </w:rPr>
        <w:t xml:space="preserve"> Our accreditations include Disability Confident Leader, The Mayor’s Good Work Standard, London Living Wage Employer, Stonewall Diversity Champion, and Employer with Heart. </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footerReference w:type="default" r:id="rId00009"/>
      <w:headerReference w:type="first" r:id="rId00010"/>
      <w:footerReference w:type="first" r:id="rId00011"/>
      <w:pgSz w:w="11900" w:h="16840"/>
      <w:pgMar w:top="709" w:right="851" w:bottom="851" w:left="851" w:header="709" w:footer="709"/>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ft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clear" w:pos="4513"/>
        <w:tab w:val="left" w:pos="6165"/>
        <w:tab w:val="left" w:pos="7716"/>
        <w:tab w:val="left" w:pos="8328"/>
        <w:tab w:val="left" w:pos="8640"/>
        <w:tab w:val="clear" w:pos="9026"/>
        <w:tab w:val="left" w:pos="9360"/>
        <w:tab w:val="left" w:pos="10080"/>
        <w:tab w:val="left" w:pos="10800"/>
        <w:tab w:val="left" w:pos="11520"/>
        <w:tab w:val="left" w:pos="12240"/>
        <w:tab w:val="left" w:pos="12960"/>
        <w:tab w:val="left" w:pos="13680"/>
        <w:tab w:val="left" w:pos="14400"/>
        <w:tab w:val="left" w:pos="15120"/>
        <w:tab w:val="left" w:pos="15840"/>
      </w:tabs>
      <w:rPr>
        <w:lang w:val="en-GB" w:eastAsia="en-GB" w:bidi="en-GB"/>
      </w:rPr>
    </w:pPr>
    <w:r>
      <w:drawing>
        <wp:anchor distT="0" distB="0" distL="114300" distR="114300" simplePos="0" relativeHeight="251659264" behindDoc="1" locked="0" layoutInCell="1" hidden="0" allowOverlap="1">
          <wp:simplePos x="0" y="0"/>
          <wp:positionH relativeFrom="page">
            <wp:posOffset>0</wp:posOffset>
          </wp:positionH>
          <wp:positionV relativeFrom="page">
            <wp:posOffset>3175</wp:posOffset>
          </wp:positionV>
          <wp:extent cx="7549515" cy="1031240"/>
          <wp:wrapNone/>
          <wp:docPr id="1" name="Picture 3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7">
                    <a:extLst>
                      <a:ext uri="{96DAC541-7B7A-43D3-8B79-37D633B846F1}">
                        <asvg:svgBlip xmlns:asvg="http://schemas.microsoft.com/office/drawing/2016/SVG/main" r:embed="rId00006"/>
                      </a:ext>
                    </a:extLst>
                  </a:blip>
                  <a:stretch>
                    <a:fillRect/>
                  </a:stretch>
                </pic:blipFill>
                <pic:spPr>
                  <a:xfrm>
                    <a:off x="0" y="0"/>
                    <a:ext cx="7549515" cy="1031240"/>
                  </a:xfrm>
                  <a:prstGeom prst="rect">
                    <a:avLst/>
                  </a:prstGeom>
                </pic:spPr>
              </pic:pic>
            </a:graphicData>
          </a:graphic>
        </wp:anchor>
      </w:drawing>
    </w:r>
    <w:r>
      <w:rPr>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567" w:hanging="283"/>
        <w:tabs>
          <w:tab w:val="num" w:pos="567"/>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Pr>
      <w:sz w:val="20"/>
      <w:szCs w:val="20"/>
      <w:lang w:val="en-GB" w:eastAsia="en-GB" w:bidi="en-GB"/>
    </w:rPr>
  </w:style>
  <w:style w:type="paragraph" w:styleId="Normal">
    <w:name w:val="Normal"/>
    <w:next w:val="Normal"/>
    <w:qFormat/>
    <w:pPr>
      <w:widowControl w:val="on"/>
      <w:shd w:val="clear" w:color="auto" w:fill="auto"/>
      <w:spacing w:before="240" w:after="12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Title">
    <w:name w:val="Title"/>
    <w:basedOn w:val="Normal"/>
    <w:next w:val="Normal"/>
    <w:qFormat/>
    <w:pPr>
      <w:spacing w:before="0" w:after="0"/>
    </w:pPr>
    <w:rPr>
      <w:spacing w:val="-10"/>
      <w:sz w:val="56"/>
      <w:szCs w:val="56"/>
      <w:lang w:val="en-GB" w:eastAsia="en-GB" w:bidi="en-GB"/>
    </w:rPr>
  </w:style>
  <w:style w:type="paragraph" w:styleId="Title (Islington)" w:customStyle="1">
    <w:name w:val="Title (Islington)"/>
    <w:basedOn w:val="Title"/>
    <w:next w:val="Title (Islington)"/>
    <w:qFormat/>
    <w:pPr/>
    <w:rPr>
      <w:color w:val="288647"/>
      <w:spacing w:val="-10"/>
      <w:sz w:val="64"/>
      <w:szCs w:val="64"/>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ullets (Islington)" w:customStyle="1">
    <w:name w:val="Bullets (Islington)"/>
    <w:basedOn w:val="ListParagraph"/>
    <w:next w:val="Bullets (Islington)"/>
    <w:qFormat/>
    <w:pPr>
      <w:tabs>
        <w:tab w:val="left" w:pos="284"/>
      </w:tabs>
      <w:ind w:left="0"/>
    </w:pPr>
    <w:rPr>
      <w:lang w:val="en-GB" w:eastAsia="en-GB" w:bidi="en-GB"/>
    </w:rPr>
  </w:style>
  <w:style w:type="paragraph" w:styleId="Heading2">
    <w:name w:val="heading 2"/>
    <w:basedOn w:val="Normal"/>
    <w:next w:val="Normal"/>
    <w:qFormat/>
    <w:pPr>
      <w:outlineLvl w:val="1"/>
    </w:pPr>
    <w:rPr>
      <w:sz w:val="40"/>
      <w:szCs w:val="40"/>
      <w:lang w:val="en-GB" w:eastAsia="en-GB" w:bidi="en-GB"/>
    </w:rPr>
  </w:style>
  <w:style w:type="paragraph" w:styleId="Heading3">
    <w:name w:val="heading 3"/>
    <w:basedOn w:val="Normal"/>
    <w:next w:val="Normal"/>
    <w:qFormat/>
    <w:pPr>
      <w:keepNext/>
      <w:keepLines/>
      <w:outlineLvl w:val="2"/>
    </w:pPr>
    <w:rPr>
      <w:sz w:val="32"/>
      <w:szCs w:val="32"/>
      <w:lang w:val="en-GB" w:eastAsia="en-GB" w:bidi="en-GB"/>
    </w:rPr>
  </w:style>
  <w:style w:type="paragraph" w:styleId="Heading4">
    <w:name w:val="heading 4"/>
    <w:basedOn w:val="Normal"/>
    <w:next w:val="Normal"/>
    <w:qFormat/>
    <w:pPr>
      <w:keepNext/>
      <w:keepLines/>
      <w:outlineLvl w:val="3"/>
    </w:pPr>
    <w:rPr>
      <w:b/>
      <w:bCs/>
      <w:lang w:val="en-GB" w:eastAsia="en-GB" w:bidi="en-GB"/>
    </w:rPr>
  </w:style>
  <w:style w:type="paragraph" w:styleId="Heading1">
    <w:name w:val="heading 1"/>
    <w:basedOn w:val="Normal"/>
    <w:next w:val="Normal"/>
    <w:qFormat/>
    <w:pPr>
      <w:outlineLvl w:val="0"/>
    </w:pPr>
    <w:rPr>
      <w:color w:val="288647"/>
      <w:sz w:val="48"/>
      <w:szCs w:val="48"/>
      <w:lang w:val="en-GB" w:eastAsia="en-GB" w:bidi="en-GB"/>
    </w:rPr>
  </w:style>
  <w:style w:type="paragraph" w:styleId="Heading5">
    <w:name w:val="heading 5"/>
    <w:basedOn w:val="Normal"/>
    <w:next w:val="Normal"/>
    <w:qFormat/>
    <w:pPr>
      <w:keepNext/>
      <w:keepLines/>
      <w:outlineLvl w:val="4"/>
    </w:pPr>
    <w:rPr>
      <w:color w:val="288647"/>
      <w:lang w:val="en-GB" w:eastAsia="en-GB" w:bidi="en-GB"/>
    </w:rPr>
  </w:style>
  <w:style w:type="paragraph" w:styleId="Heading6">
    <w:name w:val="heading 6"/>
    <w:basedOn w:val="Normal"/>
    <w:next w:val="Normal"/>
    <w:qFormat/>
    <w:pPr>
      <w:keepNext/>
      <w:keepLines/>
      <w:outlineLvl w:val="5"/>
    </w:pPr>
    <w:rPr>
      <w:color w:val="767676"/>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Heading 1 Char" w:customStyle="1">
    <w:name w:val="Heading 1 Char"/>
    <w:qFormat/>
    <w:rPr>
      <w:color w:val="288647"/>
      <w:sz w:val="48"/>
      <w:szCs w:val="48"/>
      <w:rtl w:val="off"/>
      <w:lang w:val="en-GB" w:eastAsia="en-GB" w:bidi="en-GB"/>
    </w:rPr>
  </w:style>
  <w:style w:type="character" w:styleId="Heading 2 Char" w:customStyle="1">
    <w:name w:val="Heading 2 Char"/>
    <w:qFormat/>
    <w:rPr>
      <w:sz w:val="40"/>
      <w:szCs w:val="40"/>
      <w:rtl w:val="off"/>
      <w:lang w:val="en-GB" w:eastAsia="en-GB" w:bidi="en-GB"/>
    </w:rPr>
  </w:style>
  <w:style w:type="character" w:styleId="Strong">
    <w:name w:val="Strong"/>
    <w:qFormat/>
    <w:rPr>
      <w:b/>
      <w:bCs/>
      <w:rtl w:val="off"/>
    </w:rPr>
  </w:style>
  <w:style w:type="character" w:styleId="Hyperlink">
    <w:name w:val="Hyperlink"/>
    <w:qFormat/>
    <w:rPr>
      <w:color w:val="0070C0"/>
      <w:u w:val="single"/>
      <w:rtl w:val="off"/>
    </w:rPr>
  </w:style>
  <w:style w:type="character" w:styleId="Unresolved Mention1" w:customStyle="1">
    <w:name w:val="Unresolved Mention1"/>
    <w:qFormat/>
    <w:rPr>
      <w:color w:val="605E5C"/>
      <w:shd w:val="clear" w:color="auto" w:fill="E1DFDD"/>
      <w:rtl w:val="off"/>
    </w:rPr>
  </w:style>
  <w:style w:type="character" w:styleId="FollowedHyperlink">
    <w:name w:val="FollowedHyperlink"/>
    <w:qFormat/>
    <w:rPr>
      <w:color w:val="59348B"/>
      <w:u w:val="single"/>
      <w:rtl w:val="off"/>
    </w:rPr>
  </w:style>
  <w:style w:type="character" w:styleId="HTMLAcronym">
    <w:name w:val="HTML Acronym"/>
    <w:qFormat/>
    <w:rPr>
      <w:rtl w:val="off"/>
    </w:rPr>
  </w:style>
  <w:style w:type="character" w:styleId="Heading 3 Char" w:customStyle="1">
    <w:name w:val="Heading 3 Char"/>
    <w:qFormat/>
    <w:rPr>
      <w:rFonts w:ascii="Arial" w:hAnsi="Arial" w:eastAsia="Arial" w:cs="Arial"/>
      <w:sz w:val="32"/>
      <w:szCs w:val="32"/>
      <w:rtl w:val="off"/>
      <w:lang w:val="en-GB" w:eastAsia="en-GB" w:bidi="en-GB"/>
    </w:rPr>
  </w:style>
  <w:style w:type="character" w:styleId="Heading 4 Char" w:customStyle="1">
    <w:name w:val="Heading 4 Char"/>
    <w:qFormat/>
    <w:rPr>
      <w:rFonts w:ascii="Arial" w:hAnsi="Arial" w:eastAsia="Arial" w:cs="Arial"/>
      <w:b/>
      <w:bCs/>
      <w:i w:val="off"/>
      <w:iCs w:val="off"/>
      <w:rtl w:val="off"/>
      <w:lang w:val="en-GB" w:eastAsia="en-GB" w:bidi="en-GB"/>
    </w:rPr>
  </w:style>
  <w:style w:type="character" w:styleId="Heading 6 Char" w:customStyle="1">
    <w:name w:val="Heading 6 Char"/>
    <w:qFormat/>
    <w:rPr>
      <w:rFonts w:ascii="Arial" w:hAnsi="Arial" w:eastAsia="Arial" w:cs="Arial"/>
      <w:color w:val="767676"/>
      <w:rtl w:val="off"/>
      <w:lang w:val="en-GB" w:eastAsia="en-GB" w:bidi="en-GB"/>
    </w:rPr>
  </w:style>
  <w:style w:type="character" w:styleId="Heading 5 Char" w:customStyle="1">
    <w:name w:val="Heading 5 Char"/>
    <w:qFormat/>
    <w:rPr>
      <w:rFonts w:ascii="Arial" w:hAnsi="Arial" w:eastAsia="Arial" w:cs="Arial"/>
      <w:color w:val="288647"/>
      <w:rtl w:val="off"/>
      <w:lang w:val="en-GB" w:eastAsia="en-GB" w:bidi="en-GB"/>
    </w:rPr>
  </w:style>
  <w:style w:type="character" w:styleId="Title Char" w:customStyle="1">
    <w:name w:val="Title Char"/>
    <w:qFormat/>
    <w:rPr>
      <w:rFonts w:ascii="Arial" w:hAnsi="Arial" w:eastAsia="Arial" w:cs="Arial"/>
      <w:spacing w:val="-10"/>
      <w:sz w:val="56"/>
      <w:szCs w:val="56"/>
      <w:rtl w:val="off"/>
      <w:lang w:val="en-GB" w:eastAsia="en-GB" w:bidi="en-GB"/>
    </w:rPr>
  </w:style>
  <w:style w:type="character" w:styleId="Title (Islington) Char" w:customStyle="1">
    <w:name w:val="Title (Islington) Char"/>
    <w:basedOn w:val="Title Char"/>
    <w:qFormat/>
    <w:rPr>
      <w:rFonts w:ascii="Arial" w:hAnsi="Arial" w:eastAsia="Arial" w:cs="Arial"/>
      <w:color w:val="288647"/>
      <w:spacing w:val="-10"/>
      <w:sz w:val="64"/>
      <w:szCs w:val="64"/>
      <w:lang w:val="en-GB" w:eastAsia="en-GB" w:bidi="en-GB"/>
    </w:rPr>
  </w:style>
  <w:style w:type="character" w:styleId="UnresolvedMention">
    <w:name w:val="Unresolved Mention"/>
    <w:qFormat/>
    <w:rPr>
      <w:color w:val="605E5C"/>
      <w:shd w:val="clear" w:color="auto" w:fill="E1DFDD"/>
      <w:rtl w:val="off"/>
    </w:rPr>
  </w:style>
  <w:style w:type="character" w:styleId="eop" w:customStyle="1">
    <w:name w:val="eop"/>
    <w:qFormat/>
    <w:rPr>
      <w:rtl w:val="off"/>
    </w:rPr>
  </w:style>
  <w:style w:type="character" w:styleId="normaltextrun" w:customStyle="1">
    <w:name w:val="normaltextrun"/>
    <w:qFormat/>
    <w:rPr>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sz w:val="20"/>
      <w:szCs w:val="20"/>
      <w:rtl w:val="off"/>
      <w:lang w:val="en-GB" w:eastAsia="en-GB" w:bidi="en-GB"/>
    </w:rPr>
  </w:style>
  <w:style w:type="character" w:styleId="Comment Subject Char" w:customStyle="1">
    <w:name w:val="Comment Subject Char"/>
    <w:basedOn w:val="Comment Text Char"/>
    <w:qFormat/>
    <w:rPr>
      <w:b/>
      <w:bCs/>
      <w:sz w:val="20"/>
      <w:szCs w:val="20"/>
      <w:lang w:val="en-GB" w:eastAsia="en-GB" w:bidi="en-GB"/>
    </w:rPr>
  </w:style>
  <w:style w:type="character" w:styleId="CommentReference">
    <w:name w:val="annotation reference"/>
    <w:qFormat/>
    <w:rPr>
      <w:sz w:val="16"/>
      <w:szCs w:val="16"/>
      <w:rtl w:val="off"/>
    </w:rPr>
  </w:style>
  <w:style w:type="paragraph" w:styleId="Body text (Islington)" w:customStyle="1">
    <w:name w:val="Body text (Islington)"/>
    <w:basedOn w:val="[Normal]"/>
    <w:next w:val="Body text (Islingt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pPr>
    <w:rPr>
      <w:sz w:val="24"/>
      <w:szCs w:val="24"/>
      <w:lang w:val="en-GB" w:eastAsia="en-GB" w:bidi="en-GB"/>
    </w:rPr>
  </w:style>
  <w:style w:type="paragraph" w:styleId="Quote (Islington)" w:customStyle="1">
    <w:name w:val="Quote (Islington)"/>
    <w:basedOn w:val="Body text (Islington)"/>
    <w:next w:val="Quote (Islington)"/>
    <w:qFormat/>
    <w:pPr>
      <w:ind w:left="567" w:right="567"/>
    </w:pPr>
    <w:rPr>
      <w:color w:val="767676"/>
      <w:sz w:val="28"/>
      <w:szCs w:val="28"/>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footer" Target="footer0001.xml"/>
	<Relationship Id="rId00010" Type="http://schemas.openxmlformats.org/officeDocument/2006/relationships/header" Target="header0001_first.xml"/>
	<Relationship Id="rId00011" Type="http://schemas.openxmlformats.org/officeDocument/2006/relationships/footer" Target="footer0001_first.xml"/>
	<Relationship Id="rId00008" Type="http://schemas.openxmlformats.org/officeDocument/2006/relationships/image" Target="media/image0003.png"/>
	<Relationship Id="rId00012" Type="http://schemas.openxmlformats.org/officeDocument/2006/relationships/numbering" Target="numbering.xml"/>
	<Relationship Id="rId00013" Type="http://schemas.openxmlformats.org/officeDocument/2006/relationships/fontTable" Target="fontTable.xml"/>
	<Relationship Id="rId00014"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sv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creator>Stoner, Robert</dc:creator>
  <dcterms:created xsi:type="dcterms:W3CDTF">2026-02-24T13:42:00Z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s Type">
    <vt:lpwstr>291;#Branding|472c01dc-d871-4c5d-b949-258f5d56872a</vt:lpwstr>
  </property>
  <property fmtid="{D5CDD505-2E9C-101B-9397-08002B2CF9AE}" pid="3" name="Owning TeamTaxHTField0">
    <vt:lpwstr>izzi Content Publishers|edb05a51-1f87-43d9-955d-575cf5c727e8</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Records TypeTaxHTField0">
    <vt:lpwstr>Branding|472c01dc-d871-4c5d-b949-258f5d56872a</vt:lpwstr>
  </property>
  <property fmtid="{D5CDD505-2E9C-101B-9397-08002B2CF9AE}" pid="7" name="FunctionalArea">
    <vt:lpwstr>5;#Communications|39e3c23f-dc56-4aba-86a2-372111e6b9b8</vt:lpwstr>
  </property>
  <property fmtid="{D5CDD505-2E9C-101B-9397-08002B2CF9AE}" pid="8" name="ProtectiveZone">
    <vt:lpwstr>Protected</vt:lpwstr>
  </property>
  <property fmtid="{D5CDD505-2E9C-101B-9397-08002B2CF9AE}" pid="9" name="ContentTypeId">
    <vt:lpwstr>0x010100CD165B9E46142848A777D236ED0C4B90</vt:lpwstr>
  </property>
  <property fmtid="{D5CDD505-2E9C-101B-9397-08002B2CF9AE}" pid="10" name="OriginalFilename">
    <vt:lpwstr>General document.dotx</vt:lpwstr>
  </property>
  <property fmtid="{D5CDD505-2E9C-101B-9397-08002B2CF9AE}" pid="11" name="Owning Team">
    <vt:lpwstr>60;#izzi Content Publishers|edb05a51-1f87-43d9-955d-575cf5c727e8</vt:lpwstr>
  </property>
  <property fmtid="{D5CDD505-2E9C-101B-9397-08002B2CF9AE}" pid="12" name="TaxCatchAll">
    <vt:lpwstr>60;#izzi Content Publishers|edb05a51-1f87-43d9-955d-575cf5c727e8;#5;#Communications|39e3c23f-dc56-4aba-86a2-372111e6b9b8;#291;#Branding|472c01dc-d871-4c5d-b949-258f5d56872a</vt:lpwstr>
  </property>
  <property fmtid="{D5CDD505-2E9C-101B-9397-08002B2CF9AE}" pid="13" name="c96fb2fb72de4de78ba8fe87aa837b5e">
    <vt:lpwstr>Communications|39e3c23f-dc56-4aba-86a2-372111e6b9b8</vt:lpwstr>
  </property>
</Properties>
</file>