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7833"/>
          <w:lang w:val="en-GB" w:eastAsia="en-GB" w:bidi="en-GB"/>
        </w:rPr>
      </w:pPr>
      <w:r>
        <w:rPr>
          <w:color w:val="447833"/>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textWrapping"/>
      </w:r>
      <w:r>
        <w:rPr>
          <w:lang w:val="en-GB" w:eastAsia="en-GB" w:bidi="en-GB"/>
        </w:rPr>
        <w:t xml:space="preserve">Post title: 			Archivist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SO1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Museum &amp; Archive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Assistant Archivist and volunteers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bCs/>
          <w:u w:val="single"/>
          <w:lang w:val="en-GB" w:eastAsia="en-GB" w:bidi="en-GB"/>
        </w:rPr>
      </w:pPr>
      <w:r>
        <w:rPr>
          <w:b/>
          <w:bCs/>
          <w:u w:val="single"/>
          <w:lang w:val="en-GB" w:eastAsia="en-GB" w:bidi="en-GB"/>
        </w:rPr>
        <w:t xml:space="preserve">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Islington Local History Centre is based in the Finsbury Library complex in the south of Islington on St John Street. It sits within the Heritage Service which is responsible for Islington Museum, Cally Clock Tower Centre, archives and several historic sites including the Clerks’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As well as the historic Council archives and a large image collection, the Local History Centre has several special collections including: Joe Orton &amp; Kenneth Halliwell collection, Walter Sicker archive, LGBTQ+ archive (a new collection of 4,000+ items collected as part of the NLHF-funded Islington’s Pride project) and the Sadler’s Wells Theatre archive. We also hold several personal collections from politicians connected with the borough.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Style w:val="normaltextrun"/>
          <w:color w:val="000000"/>
          <w:shd w:val="clear" w:color="auto" w:fill="FFFFFF"/>
          <w:lang w:val="en-GB" w:eastAsia="en-GB" w:bidi="en-GB"/>
        </w:rPr>
      </w:pPr>
      <w:r>
        <w:rPr>
          <w:lang w:val="en-GB" w:eastAsia="en-GB" w:bidi="en-GB"/>
        </w:rPr>
        <w:t xml:space="preserve">Islington is well known for its radical social and political heritage, which includes the 1381 Peasants’ Revolt and the building of Finsbury Health Centre, a pioneering free, community health centre, created a decade before the NHS. We use this heritage to help </w:t>
      </w:r>
      <w:r>
        <w:rPr>
          <w:rStyle w:val="normaltextrun"/>
          <w:color w:val="000000"/>
          <w:shd w:val="clear" w:color="auto" w:fill="FFFFFF"/>
          <w:lang w:val="en-GB" w:eastAsia="en-GB" w:bidi="en-GB"/>
        </w:rPr>
        <w:t xml:space="preserve">improve residents’ lives and life choices. Every resident has a right to connect meaningfully with Islington’s story and to access the myriad tangible benefits granted by cultural enrichment. Heritage provides an extraordinary opportunity to build community wellbeing, create a shared but diverse local identity, and to promote lifelong learning for all.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Heritage Service Strategic Aims:</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color w:val="000000"/>
          <w:lang w:val="en-GB" w:eastAsia="en-GB" w:bidi="en-GB"/>
        </w:rPr>
      </w:pPr>
      <w:r>
        <w:rPr>
          <w:rStyle w:val="normaltextrun"/>
          <w:rFonts w:ascii="Tahoma" w:hAnsi="Tahoma" w:eastAsia="Tahoma" w:cs="Tahoma"/>
          <w:color w:val="000000"/>
          <w:lang w:val="en-GB" w:eastAsia="en-GB" w:bidi="en-GB"/>
        </w:rPr>
        <w:t xml:space="preserve">Aim 1</w:t>
      </w:r>
      <w:r>
        <w:rPr>
          <w:rStyle w:val="normaltextrun"/>
          <w:rFonts w:ascii="Tahoma" w:hAnsi="Tahoma" w:eastAsia="Tahoma" w:cs="Tahoma"/>
          <w:b/>
          <w:bCs/>
          <w:color w:val="000000"/>
          <w:lang w:val="en-GB" w:eastAsia="en-GB" w:bidi="en-GB"/>
        </w:rPr>
        <w:t xml:space="preserve">:</w:t>
      </w:r>
      <w:r>
        <w:rPr>
          <w:rStyle w:val="normaltextrun"/>
          <w:rFonts w:ascii="Tahoma" w:hAnsi="Tahoma" w:eastAsia="Tahoma" w:cs="Tahoma"/>
          <w:color w:val="000000"/>
          <w:lang w:val="en-GB" w:eastAsia="en-GB" w:bidi="en-GB"/>
        </w:rPr>
        <w:t xml:space="preserve"> to promote a shared </w:t>
      </w:r>
      <w:r>
        <w:rPr>
          <w:rStyle w:val="normaltextrun"/>
          <w:rFonts w:ascii="Tahoma" w:hAnsi="Tahoma" w:eastAsia="Tahoma" w:cs="Tahoma"/>
          <w:b/>
          <w:bCs/>
          <w:color w:val="000000"/>
          <w:lang w:val="en-GB" w:eastAsia="en-GB" w:bidi="en-GB"/>
        </w:rPr>
        <w:t xml:space="preserve">sense of identity and belonging</w:t>
      </w:r>
      <w:r>
        <w:rPr>
          <w:rStyle w:val="normaltextrun"/>
          <w:rFonts w:ascii="Tahoma" w:hAnsi="Tahoma" w:eastAsia="Tahoma" w:cs="Tahoma"/>
          <w:color w:val="000000"/>
          <w:lang w:val="en-GB" w:eastAsia="en-GB" w:bidi="en-GB"/>
        </w:rPr>
        <w:t xml:space="preserve">. By celebrating and commemorating the borough’s diverse histories, heritage can support communities to understand differences and build strong commonalities.</w:t>
      </w:r>
      <w:r>
        <w:rPr>
          <w:rStyle w:val="eop"/>
          <w:rFonts w:ascii="Tahoma" w:hAnsi="Tahoma" w:eastAsia="Tahoma" w:cs="Tahoma"/>
          <w:color w:val="000000"/>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color w:val="000000"/>
          <w:shd w:val="clear" w:color="auto" w:fill="FFFFFF"/>
          <w:lang w:val="en-GB" w:eastAsia="en-GB" w:bidi="en-GB"/>
        </w:rPr>
      </w:pPr>
      <w:r>
        <w:rPr>
          <w:rStyle w:val="normaltextrun"/>
          <w:rFonts w:ascii="Tahoma" w:hAnsi="Tahoma" w:eastAsia="Tahoma" w:cs="Tahoma"/>
          <w:color w:val="000000"/>
          <w:shd w:val="clear" w:color="auto" w:fill="FFFFFF"/>
          <w:lang w:val="en-GB" w:eastAsia="en-GB" w:bidi="en-GB"/>
        </w:rPr>
        <w:t xml:space="preserve">Aim 2: to empower communities to understand their historic environment, engendering a sense of pride and ownership so that they can contribute to </w:t>
      </w:r>
      <w:r>
        <w:rPr>
          <w:rStyle w:val="normaltextrun"/>
          <w:rFonts w:ascii="Tahoma" w:hAnsi="Tahoma" w:eastAsia="Tahoma" w:cs="Tahoma"/>
          <w:b/>
          <w:bCs/>
          <w:color w:val="000000"/>
          <w:shd w:val="clear" w:color="auto" w:fill="FFFFFF"/>
          <w:lang w:val="en-GB" w:eastAsia="en-GB" w:bidi="en-GB"/>
        </w:rPr>
        <w:t xml:space="preserve">placemaking</w:t>
      </w:r>
      <w:r>
        <w:rPr>
          <w:rStyle w:val="normaltextrun"/>
          <w:rFonts w:ascii="Tahoma" w:hAnsi="Tahoma" w:eastAsia="Tahoma" w:cs="Tahoma"/>
          <w:color w:val="000000"/>
          <w:shd w:val="clear" w:color="auto" w:fill="FFFFFF"/>
          <w:lang w:val="en-GB" w:eastAsia="en-GB" w:bidi="en-GB"/>
        </w:rPr>
        <w:t xml:space="preserve"> and re-making their local neighbourhood</w:t>
      </w:r>
      <w:r>
        <w:rPr>
          <w:rStyle w:val="eop"/>
          <w:rFonts w:ascii="Tahoma" w:hAnsi="Tahoma" w:eastAsia="Tahoma" w:cs="Tahoma"/>
          <w:color w:val="000000"/>
          <w:shd w:val="clear" w:color="auto" w:fill="FFFFFF"/>
          <w:lang w:val="en-GB" w:eastAsia="en-GB" w:bidi="en-GB"/>
        </w:rPr>
        <w:t xml:space="preserv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0000"/>
          <w:lang w:val="en-GB" w:eastAsia="en-GB" w:bidi="en-GB"/>
        </w:rPr>
      </w:pPr>
      <w:r>
        <w:rPr>
          <w:rStyle w:val="normaltextrun"/>
          <w:rFonts w:ascii="Tahoma" w:hAnsi="Tahoma" w:eastAsia="Tahoma" w:cs="Tahoma"/>
          <w:color w:val="000000"/>
          <w:lang w:val="en-GB" w:eastAsia="en-GB" w:bidi="en-GB"/>
        </w:rPr>
        <w:t xml:space="preserve">Aim 3:</w:t>
      </w:r>
      <w:r>
        <w:rPr>
          <w:rStyle w:val="normaltextrun"/>
          <w:rFonts w:ascii="Tahoma" w:hAnsi="Tahoma" w:eastAsia="Tahoma" w:cs="Tahoma"/>
          <w:b/>
          <w:bCs/>
          <w:color w:val="000000"/>
          <w:lang w:val="en-GB" w:eastAsia="en-GB" w:bidi="en-GB"/>
        </w:rPr>
        <w:t xml:space="preserve"> </w:t>
      </w:r>
      <w:r>
        <w:rPr>
          <w:rStyle w:val="normaltextrun"/>
          <w:rFonts w:ascii="Tahoma" w:hAnsi="Tahoma" w:eastAsia="Tahoma" w:cs="Tahoma"/>
          <w:color w:val="000000"/>
          <w:lang w:val="en-GB" w:eastAsia="en-GB" w:bidi="en-GB"/>
        </w:rPr>
        <w:t xml:space="preserve">to harness the power of heritage in </w:t>
      </w:r>
      <w:r>
        <w:rPr>
          <w:rStyle w:val="normaltextrun"/>
          <w:rFonts w:ascii="Tahoma" w:hAnsi="Tahoma" w:eastAsia="Tahoma" w:cs="Tahoma"/>
          <w:b/>
          <w:bCs/>
          <w:color w:val="000000"/>
          <w:lang w:val="en-GB" w:eastAsia="en-GB" w:bidi="en-GB"/>
        </w:rPr>
        <w:t xml:space="preserve">education and lifelong learning</w:t>
      </w:r>
      <w:r>
        <w:rPr>
          <w:rStyle w:val="normaltextrun"/>
          <w:rFonts w:ascii="Tahoma" w:hAnsi="Tahoma" w:eastAsia="Tahoma" w:cs="Tahoma"/>
          <w:color w:val="000000"/>
          <w:lang w:val="en-GB" w:eastAsia="en-GB" w:bidi="en-GB"/>
        </w:rPr>
        <w:t xml:space="preserve"> for all ages and demographics, working with families, children, young people, adults, residents and communities to enrich people’s lives, broaden cultural confidence and develop skills.</w:t>
      </w:r>
      <w:r>
        <w:rPr>
          <w:rStyle w:val="eop"/>
          <w:rFonts w:ascii="Tahoma" w:hAnsi="Tahoma" w:eastAsia="Tahoma" w:cs="Tahoma"/>
          <w:color w:val="000000"/>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Aim 4: to utilise Islington’s heritage to enhance the </w:t>
      </w:r>
      <w:r>
        <w:rPr>
          <w:rFonts w:ascii="Tahoma" w:hAnsi="Tahoma" w:eastAsia="Tahoma" w:cs="Tahoma"/>
          <w:b/>
          <w:bCs/>
          <w:lang w:val="en-GB" w:eastAsia="en-GB" w:bidi="en-GB"/>
        </w:rPr>
        <w:t xml:space="preserve">quality of life of residents</w:t>
      </w:r>
      <w:r>
        <w:rPr>
          <w:rFonts w:ascii="Tahoma" w:hAnsi="Tahoma" w:eastAsia="Tahoma" w:cs="Tahoma"/>
          <w:lang w:val="en-GB" w:eastAsia="en-GB" w:bidi="en-GB"/>
        </w:rPr>
        <w:t xml:space="preserve">, contributing to improved mental and physical health and well-being.</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Tahoma" w:hAnsi="Tahoma" w:eastAsia="Tahoma" w:cs="Tahoma"/>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Tahoma" w:hAnsi="Tahoma" w:eastAsia="Tahoma" w:cs="Tahoma"/>
          <w:lang w:val="en-GB" w:eastAsia="en-GB" w:bidi="en-GB"/>
        </w:rPr>
      </w:pPr>
      <w:r>
        <w:rPr>
          <w:rStyle w:val="normaltextrun"/>
          <w:rFonts w:ascii="Tahoma" w:hAnsi="Tahoma" w:eastAsia="Tahoma" w:cs="Tahoma"/>
          <w:lang w:val="en-GB" w:eastAsia="en-GB" w:bidi="en-GB"/>
        </w:rPr>
        <w:t xml:space="preserve">Aim 5:</w:t>
      </w:r>
      <w:r>
        <w:rPr>
          <w:rStyle w:val="normaltextrun"/>
          <w:rFonts w:ascii="Tahoma" w:hAnsi="Tahoma" w:eastAsia="Tahoma" w:cs="Tahoma"/>
          <w:b/>
          <w:bCs/>
          <w:lang w:val="en-GB" w:eastAsia="en-GB" w:bidi="en-GB"/>
        </w:rPr>
        <w:t xml:space="preserve"> </w:t>
      </w:r>
      <w:r>
        <w:rPr>
          <w:rStyle w:val="normaltextrun"/>
          <w:rFonts w:ascii="Tahoma" w:hAnsi="Tahoma" w:eastAsia="Tahoma" w:cs="Tahoma"/>
          <w:lang w:val="en-GB" w:eastAsia="en-GB" w:bidi="en-GB"/>
        </w:rPr>
        <w:t xml:space="preserve">to deliver a</w:t>
      </w:r>
      <w:r>
        <w:rPr>
          <w:rStyle w:val="normaltextrun"/>
          <w:rFonts w:ascii="Tahoma" w:hAnsi="Tahoma" w:eastAsia="Tahoma" w:cs="Tahoma"/>
          <w:lang w:val="en-US" w:eastAsia="en-US" w:bidi="en-US"/>
        </w:rPr>
        <w:t xml:space="preserve">n accessible, inclusive, and responsive service which centres </w:t>
      </w:r>
      <w:r>
        <w:rPr>
          <w:rStyle w:val="normaltextrun"/>
          <w:rFonts w:ascii="Tahoma" w:hAnsi="Tahoma" w:eastAsia="Tahoma" w:cs="Tahoma"/>
          <w:b/>
          <w:bCs/>
          <w:lang w:val="en-US" w:eastAsia="en-US" w:bidi="en-US"/>
        </w:rPr>
        <w:t xml:space="preserve">community voice </w:t>
      </w:r>
      <w:r>
        <w:rPr>
          <w:rStyle w:val="normaltextrun"/>
          <w:rFonts w:ascii="Tahoma" w:hAnsi="Tahoma" w:eastAsia="Tahoma" w:cs="Tahoma"/>
          <w:lang w:val="en-US" w:eastAsia="en-US" w:bidi="en-US"/>
        </w:rPr>
        <w:t xml:space="preserve">and local need in the development of all programmes, projects, and sites</w:t>
      </w:r>
      <w:r>
        <w:rPr>
          <w:rStyle w:val="normaltextrun"/>
          <w:rFonts w:ascii="Tahoma" w:hAnsi="Tahoma" w:eastAsia="Tahoma" w:cs="Tahoma"/>
          <w:lang w:val="en-GB" w:eastAsia="en-GB" w:bidi="en-GB"/>
        </w:rPr>
        <w:t xml:space="preserve"> .</w:t>
      </w:r>
      <w:r>
        <w:rPr>
          <w:rStyle w:val="eop"/>
          <w:rFonts w:ascii="Tahoma" w:hAnsi="Tahoma" w:eastAsia="Tahoma" w:cs="Tahoma"/>
          <w:lang w:val="en-GB" w:eastAsia="en-GB" w:bidi="en-GB"/>
        </w:rPr>
        <w:t xml:space="preserv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rStyle w:val="eop"/>
          <w:color w:val="000000"/>
          <w:shd w:val="clear" w:color="auto" w:fill="FFFFFF"/>
          <w:lang w:val="en-GB" w:eastAsia="en-GB" w:bidi="en-GB"/>
        </w:rPr>
        <w:t xml:space="preserve"> </w:t>
      </w:r>
      <w:r>
        <w:rPr>
          <w:rStyle w:val="eop"/>
          <w:color w:val="000000"/>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Key target audiences for the Local History Centre include: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Young people</w:t>
      </w: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Community groups</w:t>
      </w:r>
    </w:p>
    <w:p>
      <w:pPr>
        <w:pStyle w:val="BodyText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ahoma" w:hAnsi="Tahoma" w:eastAsia="Tahoma" w:cs="Tahoma"/>
          <w:lang w:val="en-GB" w:eastAsia="en-GB" w:bidi="en-GB"/>
        </w:rPr>
      </w:pPr>
      <w:r>
        <w:rPr>
          <w:rFonts w:ascii="Tahoma" w:hAnsi="Tahoma" w:eastAsia="Tahoma" w:cs="Tahoma"/>
          <w:lang w:val="en-GB" w:eastAsia="en-GB" w:bidi="en-GB"/>
        </w:rPr>
        <w:t xml:space="preserve">Those who are traditionally underrepresented in heritage organisations.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Reporting to the Museum and Archive Manager, the post will provide ideal opportunities for an Archivist seeking new challenges in developing creative approaches to using archives to enrich residents’ lives, building community wellbeing, creating a shared inclusive local identity, and promoting lifelong learning for all.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bCs/>
          <w:u w:val="single"/>
          <w:lang w:val="en-GB" w:eastAsia="en-GB" w:bidi="en-GB"/>
        </w:rPr>
      </w:pPr>
      <w:r>
        <w:rPr>
          <w:rFonts w:ascii="Tahoma" w:hAnsi="Tahoma" w:eastAsia="Tahoma" w:cs="Tahoma"/>
          <w:b/>
          <w:bCs/>
          <w:u w:val="single"/>
          <w:lang w:val="en-GB" w:eastAsia="en-GB" w:bidi="en-GB"/>
        </w:rPr>
        <w:t xml:space="preserve">Archivist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The main role of the Archivist is to maintain and develop the archive collections and to use them for the benefit of our residents. You will do this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Managing the Local History Centre</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Rebrand the Local History Centre to Islington Archives</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Manage and improve the day-to-day visitor service and experience</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Care for and grow the collections via community-based projects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Delivering the public engagement programme</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Work with the Learning and Engagement Managers to devise and deliver the learning programme  </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Devise and develop special projects for target audiences</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Work with the Museum team on public exhibitions and associated programmes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Developing the Local History Centre</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Investigate potential TNA Archive Service Accreditation</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Input into the care and development of the Clerks’ Well</w:t>
      </w:r>
    </w:p>
    <w:p>
      <w:pPr>
        <w:pStyle w:val="ListParagraph"/>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360"/>
        <w:rPr>
          <w:lang w:val="en-GB" w:eastAsia="en-GB" w:bidi="en-GB"/>
        </w:rPr>
      </w:pPr>
      <w:r>
        <w:rPr>
          <w:lang w:val="en-GB" w:eastAsia="en-GB" w:bidi="en-GB"/>
        </w:rPr>
        <w:t xml:space="preserve">Collaborate with cultural organisations in Islington to deliver partnerships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Key working relationships will be with the Curator and the Learning and Engagement Managers. The post holder with work closely with other members of the Heritage Team, including the Heritage Project Managers.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bCs/>
          <w:u w:val="single"/>
          <w:lang w:val="en-GB" w:eastAsia="en-GB" w:bidi="en-GB"/>
        </w:rPr>
      </w:pPr>
      <w:r>
        <w:rPr>
          <w:b/>
          <w:bCs/>
          <w:u w:val="single"/>
          <w:lang w:val="en-GB" w:eastAsia="en-GB" w:bidi="en-GB"/>
        </w:rPr>
        <w:t xml:space="preserve">Duties &amp;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Work with colleagues to rebrand Islington Local History Centre to Islington Archives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Manager and develop the enquiry service/search room in Islington Archives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Manage volunteers, their development and input into the Archives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Be responsible for the development of the archive and local history collections, including identifying gaps in the current collections and developing appropriate methods to fill these gaps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Be responsible for the online Adlib collections management system, including prioritising collections to catalogue and the digitisation of specific collections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Partner with colleagues on the transfer of Council material into the Archives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Develop and maintain internal partnerships that will help to achieve the Archive’s vision and objectives, including colleagues in Planning, children’s services and Children’s Centres etc</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Work with appropriate colleagues to plan, promote and deliver a public programme with specific reference to demystifying archives aimed at our target audiences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Collaborate with Council colleagues, external partners and community groups to co-produce community projects to reflect local needs and priorities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Keep up to date with current archive sector priorities locally and nationally and take responsibility for own personal development and professional awareness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Ensure the requirements of Health and Safety legislation and the Council’s relevant policies are carried out in relation to the responsibilities of the job</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At all times carry out responsibilities and duties with due regard to the Council’s Dignity for All Policy and the Data Protection Act and other legislation</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Ensure all services within the area(s) of responsibility are provided in accordance with the Council's commitment to high quality service provision to users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Achieve agreed service outcomes and outputs, and personal appraisal targets, as agreed by the line manager</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lang w:val="en-GB" w:eastAsia="en-GB" w:bidi="en-GB"/>
        </w:rPr>
      </w:pPr>
      <w:r>
        <w:rPr>
          <w:lang w:val="en-GB" w:eastAsia="en-GB" w:bidi="en-GB"/>
        </w:rPr>
        <w:t xml:space="preserve">Work in a corporate, co-operative and collaborative way with other Council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Resources and Financial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effective Financial Management, cost controls and income maximisation in an ever-changing environment, fluctuating demands and priorities. Ensure resources are well managed and effectively deployed to the best possible effects assuring value for money in all activities. </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Budget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is responsible for any devolved budgets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The post holder will be based at Islington Local History Centre, 245 St John Street, EC1V 4NB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44546A"/>
          <w:sz w:val="48"/>
          <w:szCs w:val="48"/>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Recognised professional qualification in archives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working in an archive or similar cultural environment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Substantial experience of working with the public and researching information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managing and developing staff and volunteers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Knowledge of, and commitment to, the educational and wellbeing role of archives, and the awareness of current thinking around this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using archives to design and deliver learning programmes that meet the identified needs of a target audience, such as families, schools, people facing discrimination or social exclusion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Experience of collaborating and co-producing learning initiatives with partner organisations and targeted groups to produce new, innovative learning initiatives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Creative flair in using archives to develop successful public engagement programmes and interpretation interventions, supported by robust monitoring and evaluation strands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w:t>
            </w:r>
          </w:p>
        </w:tc>
        <w:tc>
          <w:tcPr>
            <w:tcW w:w="528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Extensive research skills with the ability to evaluate and disseminate primary resources through appropriate channels</w:t>
            </w:r>
          </w:p>
        </w:tc>
        <w:tc>
          <w:tcPr>
            <w:tcW w:w="3352"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555"/>
        <w:gridCol w:w="5281"/>
        <w:gridCol w:w="3352"/>
        <w:gridCol w:w="3352"/>
      </w:tblGrid>
      <w:tr>
        <w:tc>
          <w:tcPr>
            <w:tcW w:w="1555"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w:t>
            </w:r>
          </w:p>
        </w:tc>
        <w:tc>
          <w:tcPr>
            <w:tcW w:w="528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Ability to manage effective partnerships with a range of partners and to communicate complex issues to a broad range of audiences</w:t>
            </w:r>
          </w:p>
        </w:tc>
        <w:tc>
          <w:tcPr>
            <w:tcW w:w="3352"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c>
          <w:tcPr>
            <w:tcW w:w="3352"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c>
          <w:tcPr>
            <w:tcW w:w="1555"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11</w:t>
            </w:r>
          </w:p>
        </w:tc>
        <w:tc>
          <w:tcPr>
            <w:tcW w:w="528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Self-motivation and ability to work independently in all aspects of the role and to develop practical and realistic responses to problem solving</w:t>
            </w:r>
          </w:p>
        </w:tc>
        <w:tc>
          <w:tcPr>
            <w:tcW w:w="3352"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Social media skills to promote the service and engage new audiences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Able to work one weekend a month and occasional evenings where necessary to meet the requirements of the service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Application</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US" w:eastAsia="en-US" w:bidi="en-US"/>
              </w:rPr>
            </w:pPr>
            <w:r>
              <w:rPr>
                <w:spacing w:val="-10"/>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role will require you to obtain an Standard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Employment check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lang w:val="en-GB" w:eastAsia="en-GB" w:bidi="en-GB"/>
        </w:rPr>
      </w:pPr>
      <w:r>
        <w:rPr>
          <w:color w:val="007833"/>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9545" cy="701040"/>
            <wp:docPr id="4" name="_tx_id_1_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519545" cy="70104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9"/>
      <w:headerReference w:type="first" r:id="rId00010"/>
      <w:footerReference w:type="first" r:id="rId00011"/>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Light">
    <w:panose1 w:val="020F0302020204030204"/>
    <w:charset w:val="00"/>
    <w:family w:val="swiss"/>
    <w:pitch w:val="variable"/>
    <w:sig w:usb0="E0002AFF" w:usb1="C000247B"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197"/>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-51435</wp:posOffset>
          </wp:positionH>
          <wp:positionV relativeFrom="page">
            <wp:posOffset>10058400</wp:posOffset>
          </wp:positionV>
          <wp:extent cx="7595870" cy="653415"/>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7595870" cy="65341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197"/>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167"/>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2495" cy="361950"/>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82495" cy="361950"/>
                  </a:xfrm>
                  <a:prstGeom prst="rect">
                    <a:avLst/>
                  </a:prstGeom>
                </pic:spPr>
              </pic:pic>
            </a:graphicData>
          </a:graphic>
        </wp:anchor>
      </w:drawing>
    </w:r>
    <w:r>
      <w:rPr>
        <w:sz w:val="64"/>
        <w:szCs w:val="64"/>
        <w:lang w:val="en-GB" w:eastAsia="en-GB" w:bidi="en-GB"/>
      </w:rPr>
      <w:drawing>
        <wp:inline distT="0" distB="0" distL="0" distR="0">
          <wp:extent cx="1807210" cy="69215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807210" cy="6921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1440" w:hanging="360"/>
        <w:tabs>
          <w:tab w:val="num" w:pos="144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1080" w:hanging="360"/>
        <w:tabs>
          <w:tab w:val="num" w:pos="108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44546A"/>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472C4"/>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paragraph" w:styleId="paragraph">
    <w:name w:val="paragraph"/>
    <w:basedOn w:val="Normal"/>
    <w:next w:val="paragraph"/>
    <w:qFormat/>
    <w:pPr/>
    <w:rPr>
      <w:rFonts w:ascii="Times New Roman" w:hAnsi="Times New Roman" w:eastAsia="Times New Roman" w:cs="Times New Roman"/>
      <w:lang w:val="en-GB" w:eastAsia="en-GB" w:bidi="en-GB"/>
    </w:rPr>
  </w:style>
  <w:style w:type="paragraph" w:styleId="BodyText3">
    <w:name w:val="Body Text 3"/>
    <w:basedOn w:val="Normal"/>
    <w:next w:val="BodyText3"/>
    <w:qFormat/>
    <w:pPr>
      <w:spacing w:after="120"/>
    </w:pPr>
    <w:rPr>
      <w:sz w:val="16"/>
      <w:szCs w:val="16"/>
      <w:lang w:val="en-GB" w:eastAsia="en-GB" w:bidi="en-GB"/>
    </w:rPr>
  </w:style>
  <w:style w:type="paragraph" w:styleId="Title">
    <w:name w:val="Title"/>
    <w:basedOn w:val="Normal"/>
    <w:next w:val="Normal"/>
    <w:qFormat/>
    <w:pPr/>
    <w:rPr>
      <w:rFonts w:ascii="Calibri Light" w:hAnsi="Calibri Light" w:eastAsia="Calibri Light" w:cs="Calibri Light"/>
      <w:spacing w:val="-10"/>
      <w:sz w:val="56"/>
      <w:szCs w:val="56"/>
      <w:lang w:val="en-GB" w:eastAsia="en-GB" w:bidi="en-GB"/>
    </w:rPr>
  </w:style>
  <w:style w:type="paragraph" w:styleId="Heading5">
    <w:name w:val="heading 5"/>
    <w:basedOn w:val="Title"/>
    <w:next w:val="Normal"/>
    <w:qFormat/>
    <w:pPr>
      <w:keepNext/>
      <w:keepLines/>
      <w:spacing w:before="240"/>
      <w:outlineLvl w:val="4"/>
    </w:pPr>
    <w:rPr>
      <w:rFonts w:ascii="Tahoma" w:hAnsi="Tahoma" w:eastAsia="Tahoma" w:cs="Tahoma"/>
      <w:color w:val="000000"/>
      <w:spacing w:val="-10"/>
      <w:sz w:val="24"/>
      <w:szCs w:val="24"/>
      <w:lang w:val="en-GB" w:eastAsia="en-GB" w:bidi="en-GB"/>
    </w:rPr>
  </w:style>
  <w:style w:type="character" w:styleId="normaltextrun">
    <w:name w:val="normaltextrun"/>
    <w:qFormat/>
    <w:rPr>
      <w:rtl w:val="off"/>
    </w:rPr>
  </w:style>
  <w:style w:type="character" w:styleId="eop">
    <w:name w:val="eop"/>
    <w:qFormat/>
    <w:rPr>
      <w:rtl w:val="off"/>
    </w:rPr>
  </w:style>
  <w:style w:type="character" w:styleId="Heading 1 Char">
    <w:name w:val="Heading 1 Char"/>
    <w:qFormat/>
    <w:rPr>
      <w:rFonts w:ascii="Tahoma" w:hAnsi="Tahoma" w:eastAsia="Tahoma" w:cs="Tahoma"/>
      <w:color w:val="44546A"/>
      <w:sz w:val="64"/>
      <w:szCs w:val="64"/>
      <w:rtl w:val="off"/>
    </w:rPr>
  </w:style>
  <w:style w:type="character" w:styleId="Heading 2 Char">
    <w:name w:val="Heading 2 Char"/>
    <w:qFormat/>
    <w:rPr>
      <w:rFonts w:ascii="Tahoma" w:hAnsi="Tahoma" w:eastAsia="Tahoma" w:cs="Tahoma"/>
      <w:color w:val="44546A"/>
      <w:sz w:val="48"/>
      <w:szCs w:val="48"/>
      <w:rtl w:val="off"/>
    </w:rPr>
  </w:style>
  <w:style w:type="character" w:styleId="Heading 3 Char">
    <w:name w:val="Heading 3 Char"/>
    <w:qFormat/>
    <w:rPr>
      <w:rFonts w:ascii="Tahoma" w:hAnsi="Tahoma" w:eastAsia="Tahoma" w:cs="Tahoma"/>
      <w:color w:val="4472C4"/>
      <w:sz w:val="40"/>
      <w:szCs w:val="40"/>
      <w:rtl w:val="off"/>
    </w:rPr>
  </w:style>
  <w:style w:type="character" w:styleId="Heading 4 Char">
    <w:name w:val="Heading 4 Char"/>
    <w:qFormat/>
    <w:rPr>
      <w:rFonts w:ascii="Tahoma" w:hAnsi="Tahoma" w:eastAsia="Tahoma" w:cs="Tahoma"/>
      <w:color w:val="000000"/>
      <w:sz w:val="32"/>
      <w:szCs w:val="32"/>
      <w:rtl w:val="off"/>
    </w:rPr>
  </w:style>
  <w:style w:type="character" w:styleId="Heading 5 Char">
    <w:name w:val="Heading 5 Char"/>
    <w:qFormat/>
    <w:rPr>
      <w:rFonts w:ascii="Tahoma" w:hAnsi="Tahoma" w:eastAsia="Tahoma" w:cs="Tahoma"/>
      <w:color w:val="000000"/>
      <w:sz w:val="24"/>
      <w:szCs w:val="24"/>
      <w:rtl w:val="off"/>
    </w:rPr>
  </w:style>
  <w:style w:type="character" w:styleId="Header Char">
    <w:name w:val="Header Char"/>
    <w:qFormat/>
    <w:rPr>
      <w:rFonts w:ascii="Tahoma" w:hAnsi="Tahoma" w:eastAsia="Tahoma" w:cs="Tahoma"/>
      <w:sz w:val="24"/>
      <w:szCs w:val="24"/>
      <w:rtl w:val="off"/>
    </w:rPr>
  </w:style>
  <w:style w:type="character" w:styleId="Footer Char">
    <w:name w:val="Footer Char"/>
    <w:qFormat/>
    <w:rPr>
      <w:rFonts w:ascii="Tahoma" w:hAnsi="Tahoma" w:eastAsia="Tahoma" w:cs="Tahoma"/>
      <w:sz w:val="24"/>
      <w:szCs w:val="24"/>
      <w:rtl w:val="off"/>
    </w:rPr>
  </w:style>
  <w:style w:type="character" w:styleId="Body Text 2 Char">
    <w:name w:val="Body Text 2 Char"/>
    <w:qFormat/>
    <w:rPr>
      <w:rFonts w:ascii="Times New Roman" w:hAnsi="Times New Roman" w:eastAsia="Times New Roman" w:cs="Times New Roman"/>
      <w:sz w:val="24"/>
      <w:szCs w:val="24"/>
      <w:rtl w:val="off"/>
    </w:rPr>
  </w:style>
  <w:style w:type="character" w:styleId="Title Char">
    <w:name w:val="Title Char"/>
    <w:qFormat/>
    <w:rPr>
      <w:rFonts w:ascii="Calibri Light" w:hAnsi="Calibri Light" w:eastAsia="Calibri Light" w:cs="Calibri Light"/>
      <w:spacing w:val="-10"/>
      <w:sz w:val="56"/>
      <w:szCs w:val="56"/>
      <w:rtl w:val="off"/>
    </w:rPr>
  </w:style>
  <w:style w:type="character" w:styleId="Body Text 3 Char">
    <w:name w:val="Body Text 3 Char"/>
    <w:qFormat/>
    <w:rPr>
      <w:rFonts w:ascii="Tahoma" w:hAnsi="Tahoma" w:eastAsia="Tahoma" w:cs="Tahoma"/>
      <w:sz w:val="16"/>
      <w:szCs w:val="16"/>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header" Target="header0001_first.xml"/>
	<Relationship Id="rId00011" Type="http://schemas.openxmlformats.org/officeDocument/2006/relationships/footer" Target="footer0001_first.xml"/>
	<Relationship Id="rId00008" Type="http://schemas.openxmlformats.org/officeDocument/2006/relationships/image" Target="media/image0004.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2.png"/>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Cheryl</dc:creator>
  <dcterms:created xsi:type="dcterms:W3CDTF">2024-08-29T13:43:00Z</dcterms:created>
</cp:coreProperties>
</file>